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0FA" w:rsidRDefault="00BD4E53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  <w:lang w:eastAsia="pt-PT"/>
        </w:rPr>
        <w:drawing>
          <wp:inline distT="0" distB="0" distL="0" distR="0">
            <wp:extent cx="5829300" cy="838200"/>
            <wp:effectExtent l="19050" t="0" r="0" b="0"/>
            <wp:docPr id="1" name="Picture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FA" w:rsidRDefault="00CE40FA">
      <w:pPr>
        <w:rPr>
          <w:rFonts w:ascii="Trebuchet MS" w:hAnsi="Trebuchet MS" w:cs="Arial"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CE40FA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FA" w:rsidRDefault="00CE40FA">
            <w:pPr>
              <w:snapToGrid w:val="0"/>
              <w:spacing w:line="360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Nome: </w:t>
            </w:r>
            <w:r w:rsidR="009D7862">
              <w:rPr>
                <w:rFonts w:ascii="Trebuchet MS" w:hAnsi="Trebuchet MS" w:cs="Arial"/>
                <w:b/>
              </w:rPr>
              <w:tab/>
            </w:r>
            <w:r w:rsidR="009D7862">
              <w:rPr>
                <w:rFonts w:ascii="Trebuchet MS" w:hAnsi="Trebuchet MS" w:cs="Arial"/>
                <w:b/>
              </w:rPr>
              <w:tab/>
              <w:t>ANTÓNIO JOSÉ ESTÊVÃO CABRITA</w:t>
            </w:r>
          </w:p>
          <w:p w:rsidR="00CE40FA" w:rsidRDefault="00CE40FA">
            <w:pPr>
              <w:spacing w:line="360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Nº de Estudante:</w:t>
            </w:r>
            <w:r w:rsidR="009D7862">
              <w:rPr>
                <w:rFonts w:ascii="Trebuchet MS" w:hAnsi="Trebuchet MS" w:cs="Arial"/>
                <w:b/>
              </w:rPr>
              <w:t xml:space="preserve"> </w:t>
            </w:r>
            <w:r w:rsidR="009D7862">
              <w:rPr>
                <w:rFonts w:ascii="Trebuchet MS" w:hAnsi="Trebuchet MS" w:cs="Arial"/>
                <w:b/>
              </w:rPr>
              <w:tab/>
              <w:t>1002404</w:t>
            </w:r>
          </w:p>
          <w:p w:rsidR="00CE40FA" w:rsidRDefault="00CE40FA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Unidade Curricular:</w:t>
            </w:r>
            <w:r w:rsidR="009D7862">
              <w:rPr>
                <w:rFonts w:ascii="Trebuchet MS" w:hAnsi="Trebuchet MS" w:cs="Arial"/>
                <w:b/>
              </w:rPr>
              <w:tab/>
            </w:r>
            <w:r>
              <w:rPr>
                <w:rFonts w:ascii="Trebuchet MS" w:hAnsi="Trebuchet MS" w:cs="Arial"/>
              </w:rPr>
              <w:t>Recursos de Informação: Utilizadores e Serviços</w:t>
            </w:r>
          </w:p>
          <w:p w:rsidR="00CE40FA" w:rsidRDefault="00CE40FA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Código:</w:t>
            </w:r>
            <w:r>
              <w:rPr>
                <w:rFonts w:ascii="Trebuchet MS" w:hAnsi="Trebuchet MS" w:cs="Arial"/>
              </w:rPr>
              <w:t xml:space="preserve"> 51062</w:t>
            </w:r>
          </w:p>
          <w:p w:rsidR="00CE40FA" w:rsidRDefault="00CE40FA" w:rsidP="009D7862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Data: 3 de Maio</w:t>
            </w:r>
            <w:r w:rsidR="009D7862">
              <w:rPr>
                <w:rFonts w:ascii="Trebuchet MS" w:hAnsi="Trebuchet MS" w:cs="Arial"/>
                <w:b/>
              </w:rPr>
              <w:tab/>
            </w:r>
            <w:r w:rsidR="009D7862">
              <w:rPr>
                <w:rFonts w:ascii="Trebuchet MS" w:hAnsi="Trebuchet MS" w:cs="Arial"/>
                <w:b/>
              </w:rPr>
              <w:tab/>
            </w:r>
            <w:r w:rsidR="009D7862">
              <w:rPr>
                <w:rFonts w:ascii="Trebuchet MS" w:hAnsi="Trebuchet MS" w:cs="Arial"/>
                <w:b/>
              </w:rPr>
              <w:tab/>
            </w:r>
            <w:r w:rsidR="009D7862">
              <w:rPr>
                <w:rFonts w:ascii="Trebuchet MS" w:hAnsi="Trebuchet MS" w:cs="Arial"/>
                <w:b/>
              </w:rPr>
              <w:tab/>
            </w:r>
            <w:r>
              <w:rPr>
                <w:rFonts w:ascii="Trebuchet MS" w:hAnsi="Trebuchet MS" w:cs="Arial"/>
                <w:b/>
              </w:rPr>
              <w:t>Ano letivo:</w:t>
            </w:r>
            <w:r>
              <w:rPr>
                <w:rFonts w:ascii="Trebuchet MS" w:hAnsi="Trebuchet MS" w:cs="Arial"/>
              </w:rPr>
              <w:t xml:space="preserve"> 2011/12</w:t>
            </w:r>
          </w:p>
        </w:tc>
      </w:tr>
    </w:tbl>
    <w:p w:rsidR="00CE40FA" w:rsidRDefault="00CE40FA"/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CE40FA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FA" w:rsidRDefault="00CE40FA">
            <w:pPr>
              <w:snapToGrid w:val="0"/>
            </w:pPr>
          </w:p>
          <w:p w:rsidR="00CE40FA" w:rsidRDefault="00CE40FA">
            <w:pPr>
              <w:jc w:val="center"/>
            </w:pPr>
            <w:r>
              <w:t xml:space="preserve">INFORMAÇÕES PARA A RESOLUÇÃO DO </w:t>
            </w:r>
            <w:r>
              <w:rPr>
                <w:b/>
              </w:rPr>
              <w:t>E-FÓLIO B</w:t>
            </w:r>
            <w:r>
              <w:t>:</w:t>
            </w:r>
          </w:p>
          <w:p w:rsidR="00CE40FA" w:rsidRDefault="00CE40FA">
            <w:pPr>
              <w:pStyle w:val="NormalWeb"/>
              <w:numPr>
                <w:ilvl w:val="0"/>
                <w:numId w:val="1"/>
              </w:numPr>
              <w:spacing w:after="0"/>
            </w:pPr>
            <w:r>
              <w:rPr>
                <w:rFonts w:eastAsia="Times New Roman"/>
                <w:color w:val="000000"/>
              </w:rPr>
              <w:t xml:space="preserve">O e-Fólio B é composto por </w:t>
            </w:r>
            <w:r>
              <w:rPr>
                <w:b/>
              </w:rPr>
              <w:t>uma questão com duas alíneas</w:t>
            </w:r>
            <w:r>
              <w:rPr>
                <w:rFonts w:eastAsia="Times New Roman"/>
                <w:color w:val="000000"/>
              </w:rPr>
              <w:t xml:space="preserve">, contém </w:t>
            </w:r>
            <w:r>
              <w:rPr>
                <w:rFonts w:eastAsia="Times New Roman"/>
                <w:b/>
                <w:color w:val="000000"/>
              </w:rPr>
              <w:t>4 páginas</w:t>
            </w:r>
            <w:r>
              <w:rPr>
                <w:rFonts w:eastAsia="Times New Roman"/>
                <w:color w:val="000000"/>
              </w:rPr>
              <w:t xml:space="preserve"> (incl. cabeçalho e instruções) em A4. Formato: word, / Times New Roman 12, espaço: 1,5. A bibliografia pode constar numa página extra.</w:t>
            </w:r>
            <w:r>
              <w:t xml:space="preserve"> Respeite o limite de páginas.</w:t>
            </w:r>
          </w:p>
          <w:p w:rsidR="00CE40FA" w:rsidRDefault="00CE40FA">
            <w:pPr>
              <w:numPr>
                <w:ilvl w:val="0"/>
                <w:numId w:val="1"/>
              </w:numPr>
              <w:jc w:val="both"/>
            </w:pPr>
            <w:r>
              <w:t>Salve o documento no seu disco rígido antes de começar a responder.</w:t>
            </w:r>
          </w:p>
          <w:p w:rsidR="00CE40FA" w:rsidRDefault="00CE40FA">
            <w:pPr>
              <w:numPr>
                <w:ilvl w:val="0"/>
                <w:numId w:val="1"/>
              </w:numPr>
              <w:jc w:val="both"/>
            </w:pPr>
            <w:r>
              <w:t xml:space="preserve">Preencha devidamente o cabeçalho do exemplar. </w:t>
            </w:r>
          </w:p>
          <w:p w:rsidR="00CE40FA" w:rsidRDefault="00CE40FA">
            <w:pPr>
              <w:numPr>
                <w:ilvl w:val="0"/>
                <w:numId w:val="1"/>
              </w:numPr>
              <w:ind w:left="714" w:hanging="357"/>
              <w:jc w:val="both"/>
              <w:rPr>
                <w:b/>
              </w:rPr>
            </w:pPr>
            <w:r>
              <w:t xml:space="preserve">Depois de ter realizado o E-Fólio, insira-o no dispositivo previsto na página </w:t>
            </w:r>
            <w:r>
              <w:rPr>
                <w:i/>
              </w:rPr>
              <w:t>moodle</w:t>
            </w:r>
            <w:r>
              <w:t xml:space="preserve"> da unidade curricular até ao dia </w:t>
            </w:r>
            <w:r>
              <w:rPr>
                <w:b/>
              </w:rPr>
              <w:t>16 de Maio às 23h00.</w:t>
            </w:r>
          </w:p>
          <w:p w:rsidR="00CE40FA" w:rsidRDefault="00CE40F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E40FA" w:rsidRDefault="00CE40FA">
            <w:pPr>
              <w:jc w:val="center"/>
              <w:rPr>
                <w:b/>
              </w:rPr>
            </w:pPr>
            <w:r>
              <w:rPr>
                <w:b/>
              </w:rPr>
              <w:t>CRITÉRIOS DE AVALIAÇÃO E COTAÇÃO:</w:t>
            </w:r>
          </w:p>
          <w:p w:rsidR="00CE40FA" w:rsidRDefault="00CE40FA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Classificação total: 40 pontos distribuídos </w:t>
            </w:r>
            <w:proofErr w:type="gramStart"/>
            <w:r>
              <w:rPr>
                <w:b/>
                <w:bCs/>
              </w:rPr>
              <w:t>por</w:t>
            </w:r>
            <w:proofErr w:type="gramEnd"/>
            <w:r>
              <w:rPr>
                <w:b/>
                <w:bCs/>
              </w:rPr>
              <w:t>:</w:t>
            </w:r>
          </w:p>
          <w:p w:rsidR="00CE40FA" w:rsidRDefault="00CE40FA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Conteúdo - 30 pontos;</w:t>
            </w:r>
          </w:p>
          <w:p w:rsidR="00CE40FA" w:rsidRDefault="00CE40FA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bCs/>
              </w:rPr>
            </w:pPr>
            <w:r>
              <w:rPr>
                <w:bCs/>
              </w:rPr>
              <w:t>Os critérios genéricos da avaliação são a proficiência, o encadeamento do raciocínio, a justeza dos conteúdos da resposta e o rigor científico dos aspectos enunciados, (</w:t>
            </w:r>
            <w:r>
              <w:rPr>
                <w:bCs/>
                <w:color w:val="000000"/>
              </w:rPr>
              <w:t>clareza da exposição; capacidade de sintetização e estruturação; qualidade da argumentação; relevância da bibliografia, g</w:t>
            </w:r>
            <w:r>
              <w:rPr>
                <w:bCs/>
              </w:rPr>
              <w:t xml:space="preserve">rau de sistematização e exploração do tema alvo). </w:t>
            </w:r>
          </w:p>
          <w:p w:rsidR="00CE40FA" w:rsidRDefault="00CE40FA">
            <w:pPr>
              <w:autoSpaceDE w:val="0"/>
              <w:jc w:val="both"/>
              <w:rPr>
                <w:b/>
              </w:rPr>
            </w:pPr>
          </w:p>
          <w:p w:rsidR="00CE40FA" w:rsidRDefault="00CE40FA">
            <w:pPr>
              <w:ind w:left="540" w:hanging="540"/>
              <w:jc w:val="both"/>
              <w:rPr>
                <w:b/>
              </w:rPr>
            </w:pPr>
            <w:r>
              <w:rPr>
                <w:b/>
              </w:rPr>
              <w:t xml:space="preserve">  A</w:t>
            </w:r>
            <w:r>
              <w:rPr>
                <w:b/>
                <w:color w:val="000000"/>
              </w:rPr>
              <w:t>presentação formal</w:t>
            </w:r>
            <w:r>
              <w:rPr>
                <w:b/>
              </w:rPr>
              <w:t xml:space="preserve"> - 10 pontos.</w:t>
            </w:r>
          </w:p>
          <w:p w:rsidR="00CE40FA" w:rsidRDefault="00CE40FA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Organização textual e qualidade discursiva </w:t>
            </w:r>
            <w:r>
              <w:rPr>
                <w:bCs/>
                <w:color w:val="000000"/>
              </w:rPr>
              <w:t xml:space="preserve">(identificação das fontes, citações corretas, </w:t>
            </w:r>
            <w:r>
              <w:rPr>
                <w:bCs/>
              </w:rPr>
              <w:t xml:space="preserve">ortografia, estrutura </w:t>
            </w:r>
            <w:r w:rsidR="00234D2B">
              <w:rPr>
                <w:bCs/>
              </w:rPr>
              <w:t>sintáctica</w:t>
            </w:r>
            <w:r>
              <w:rPr>
                <w:bCs/>
              </w:rPr>
              <w:t xml:space="preserve"> e adequação lexical/terminológica). </w:t>
            </w:r>
          </w:p>
          <w:p w:rsidR="00CE40FA" w:rsidRDefault="00CE40FA">
            <w:pPr>
              <w:autoSpaceDE w:val="0"/>
              <w:jc w:val="both"/>
              <w:rPr>
                <w:bCs/>
              </w:rPr>
            </w:pPr>
          </w:p>
          <w:p w:rsidR="00CE40FA" w:rsidRDefault="00CE40FA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As respostas plagiadas implicam a anulação do E-Fólio.</w:t>
            </w:r>
          </w:p>
        </w:tc>
      </w:tr>
    </w:tbl>
    <w:p w:rsidR="00CE40FA" w:rsidRDefault="00CE40FA"/>
    <w:p w:rsidR="00CE40FA" w:rsidRDefault="00CE40FA">
      <w:pPr>
        <w:spacing w:line="360" w:lineRule="auto"/>
        <w:jc w:val="both"/>
        <w:rPr>
          <w:b/>
        </w:rPr>
      </w:pPr>
    </w:p>
    <w:p w:rsidR="00CE40FA" w:rsidRDefault="00CE40FA">
      <w:pPr>
        <w:spacing w:line="360" w:lineRule="auto"/>
        <w:jc w:val="both"/>
        <w:rPr>
          <w:b/>
        </w:rPr>
      </w:pPr>
      <w:r>
        <w:rPr>
          <w:b/>
        </w:rPr>
        <w:t xml:space="preserve">No quadro de “explosão da informação”, ocorrida a partir dos anos cinquenta do séc. XX, os serviços e as técnicas de biblioteconomia, documentação e informação apresentam mudanças consideráveis na sua estrutura.  </w:t>
      </w:r>
    </w:p>
    <w:p w:rsidR="00CE40FA" w:rsidRDefault="00CE40FA">
      <w:pPr>
        <w:spacing w:line="360" w:lineRule="auto"/>
        <w:jc w:val="both"/>
        <w:rPr>
          <w:b/>
        </w:rPr>
      </w:pPr>
    </w:p>
    <w:p w:rsidR="00CE40FA" w:rsidRDefault="00CE40FA">
      <w:pPr>
        <w:jc w:val="both"/>
        <w:rPr>
          <w:b/>
        </w:rPr>
      </w:pPr>
      <w:r>
        <w:rPr>
          <w:b/>
        </w:rPr>
        <w:lastRenderedPageBreak/>
        <w:t>a) Partindo do conceito ‘Documentação’, recorde a evolução que se estabeleceu para se chegar a um tipo de informação mais específico, a “Informação científico-técnica”.</w:t>
      </w:r>
    </w:p>
    <w:p w:rsidR="00CE40FA" w:rsidRDefault="00CE40FA"/>
    <w:p w:rsidR="00CE40FA" w:rsidRDefault="00CE40FA">
      <w:pPr>
        <w:jc w:val="both"/>
        <w:rPr>
          <w:b/>
        </w:rPr>
      </w:pPr>
      <w:r>
        <w:rPr>
          <w:b/>
        </w:rPr>
        <w:t>b) Explicite a importância dada à documentação científico-técnica e aos serviços que lhe estavam associados ao longo de toda esta evolução e dê exemplos de produtos informacionais oferecidos por este tipo de serviços.</w:t>
      </w:r>
    </w:p>
    <w:p w:rsidR="00CE40FA" w:rsidRDefault="00CE40FA">
      <w:pPr>
        <w:jc w:val="both"/>
      </w:pPr>
    </w:p>
    <w:p w:rsidR="00234D2B" w:rsidRDefault="00234D2B" w:rsidP="00234D2B">
      <w:pPr>
        <w:pBdr>
          <w:bottom w:val="single" w:sz="4" w:space="1" w:color="auto"/>
        </w:pBdr>
        <w:jc w:val="both"/>
      </w:pPr>
    </w:p>
    <w:p w:rsidR="00234D2B" w:rsidRPr="006F68D8" w:rsidRDefault="00234D2B" w:rsidP="00234D2B">
      <w:pPr>
        <w:spacing w:line="360" w:lineRule="auto"/>
        <w:jc w:val="center"/>
      </w:pPr>
    </w:p>
    <w:p w:rsidR="00B461AC" w:rsidRDefault="00BD17BA" w:rsidP="0072614B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A </w:t>
      </w:r>
      <w:r w:rsidR="00B461AC">
        <w:t>documentação, como conjunto de documentos</w:t>
      </w:r>
      <w:r w:rsidR="00B3311F">
        <w:t xml:space="preserve">, em suporte material, classificados e ordenados, organizados portanto, </w:t>
      </w:r>
      <w:r w:rsidR="00B461AC">
        <w:t xml:space="preserve">passível de ser consultada e/ou transmitida posteriormente, é tida como base da informação e do conhecimento. </w:t>
      </w:r>
      <w:r w:rsidR="0043154C">
        <w:t>Embora nos dias de hoje, na chamada Era Informacional, seja consensual o entendimento e a utilização deste conceito</w:t>
      </w:r>
      <w:r w:rsidR="00055FBF">
        <w:t xml:space="preserve"> que, apesar de utilizado em vários contextos, resulta na utilização dos documentos como suporte a factos, como </w:t>
      </w:r>
      <w:r w:rsidR="00BA4163">
        <w:t xml:space="preserve">meio </w:t>
      </w:r>
      <w:r w:rsidR="00055FBF">
        <w:t>probatório</w:t>
      </w:r>
      <w:r w:rsidR="00AC602E">
        <w:t xml:space="preserve"> e como meio informacional. </w:t>
      </w:r>
      <w:r w:rsidR="00B461AC">
        <w:t xml:space="preserve">Todavia, </w:t>
      </w:r>
      <w:r w:rsidR="00E237A2">
        <w:t xml:space="preserve">este conceito surge apenas </w:t>
      </w:r>
      <w:r w:rsidR="0010228D">
        <w:t>no</w:t>
      </w:r>
      <w:r w:rsidR="00E237A2">
        <w:t xml:space="preserve"> século XX com Paul </w:t>
      </w:r>
      <w:proofErr w:type="spellStart"/>
      <w:r w:rsidR="00E237A2">
        <w:t>Otlet</w:t>
      </w:r>
      <w:proofErr w:type="spellEnd"/>
      <w:r w:rsidR="0010228D">
        <w:t xml:space="preserve"> no seu tratado </w:t>
      </w:r>
      <w:proofErr w:type="spellStart"/>
      <w:r w:rsidR="0010228D" w:rsidRPr="00BA4163">
        <w:rPr>
          <w:i/>
        </w:rPr>
        <w:t>Traité</w:t>
      </w:r>
      <w:proofErr w:type="spellEnd"/>
      <w:r w:rsidR="0010228D" w:rsidRPr="00BA4163">
        <w:rPr>
          <w:i/>
        </w:rPr>
        <w:t xml:space="preserve"> de </w:t>
      </w:r>
      <w:proofErr w:type="spellStart"/>
      <w:r w:rsidR="0010228D" w:rsidRPr="00BA4163">
        <w:rPr>
          <w:i/>
        </w:rPr>
        <w:t>documentation</w:t>
      </w:r>
      <w:proofErr w:type="spellEnd"/>
      <w:r w:rsidR="0010228D">
        <w:t xml:space="preserve"> </w:t>
      </w:r>
      <w:r w:rsidR="0043154C">
        <w:t>de</w:t>
      </w:r>
      <w:r w:rsidR="0010228D">
        <w:t xml:space="preserve"> 1934</w:t>
      </w:r>
      <w:r w:rsidR="0043154C">
        <w:t xml:space="preserve">, </w:t>
      </w:r>
      <w:r w:rsidR="00BA4163">
        <w:t>“uma de suas principais contribuições para a constituição da documentação e da ciência da informação”</w:t>
      </w:r>
      <w:r w:rsidR="00BA4163">
        <w:rPr>
          <w:rStyle w:val="FootnoteReference"/>
        </w:rPr>
        <w:footnoteReference w:id="1"/>
      </w:r>
      <w:r w:rsidR="00BA4163">
        <w:t xml:space="preserve">. Mas, a necessidade de </w:t>
      </w:r>
      <w:r w:rsidR="00B27CD3">
        <w:t>I</w:t>
      </w:r>
      <w:r w:rsidR="00BA4163">
        <w:t xml:space="preserve">nformação e de tratamento da </w:t>
      </w:r>
      <w:r w:rsidR="00B27CD3">
        <w:t>D</w:t>
      </w:r>
      <w:r w:rsidR="00BA4163">
        <w:t xml:space="preserve">ocumentação surge muito antes, derivada do aumento da produção documental com a invenção da prensa. Contudo, só com a Revolução Industrial, sob os auspícios do </w:t>
      </w:r>
      <w:r w:rsidR="00613A54">
        <w:t xml:space="preserve">Iluminismo </w:t>
      </w:r>
      <w:r w:rsidR="00BA4163">
        <w:t xml:space="preserve">e do </w:t>
      </w:r>
      <w:r w:rsidR="00613A54">
        <w:t xml:space="preserve">Liberalismo </w:t>
      </w:r>
      <w:r w:rsidR="00BA4163">
        <w:t>resulta</w:t>
      </w:r>
      <w:r w:rsidR="00613A54">
        <w:t>nte</w:t>
      </w:r>
      <w:r w:rsidR="00BA4163">
        <w:t xml:space="preserve"> da Revolução Francesa, </w:t>
      </w:r>
      <w:r w:rsidR="00B27CD3">
        <w:t xml:space="preserve">marcada </w:t>
      </w:r>
      <w:r w:rsidR="00992A87">
        <w:t>pela</w:t>
      </w:r>
      <w:r w:rsidR="00BA4163">
        <w:t xml:space="preserve"> abe</w:t>
      </w:r>
      <w:r w:rsidR="00992A87">
        <w:t>rtura dos arquivos nacionais a qualquer cidadão que dela precise ou deseje aceder (Lei de 7 de Messidor, ano 11 da Revolução</w:t>
      </w:r>
      <w:r w:rsidR="00992A87">
        <w:rPr>
          <w:rStyle w:val="FootnoteReference"/>
        </w:rPr>
        <w:footnoteReference w:id="2"/>
      </w:r>
      <w:r w:rsidR="00992A87">
        <w:t>)</w:t>
      </w:r>
      <w:r w:rsidR="00BA4163">
        <w:t>, se torna imperioso</w:t>
      </w:r>
      <w:r w:rsidR="00B27CD3">
        <w:t xml:space="preserve"> dar tratamento apropriado e especializado a toda a documentação produzida.</w:t>
      </w:r>
    </w:p>
    <w:p w:rsidR="00E237A2" w:rsidRDefault="00B27CD3" w:rsidP="00D0216C">
      <w:pPr>
        <w:spacing w:line="360" w:lineRule="auto"/>
        <w:ind w:firstLine="709"/>
        <w:jc w:val="both"/>
      </w:pPr>
      <w:r>
        <w:t>Até à Revolução Industrial o tratamento da Documentação resumia-se à criação de bibliografias gerais e de índices temáticos</w:t>
      </w:r>
      <w:r w:rsidR="000E55B0">
        <w:t>, encontrando-se já algumas tentativas de criação de bibliografias científicas a partir do século XVI</w:t>
      </w:r>
      <w:r w:rsidR="000E55B0">
        <w:rPr>
          <w:rStyle w:val="FootnoteReference"/>
        </w:rPr>
        <w:footnoteReference w:id="3"/>
      </w:r>
      <w:r>
        <w:t>. A partir desse momento, fruto do avanço científico, de onde se destacam</w:t>
      </w:r>
      <w:r w:rsidR="00100F21">
        <w:t xml:space="preserve">, por exemplo, </w:t>
      </w:r>
      <w:r>
        <w:t>as invenções da máquina a vapor, do telefone e da rádio, meios que aumentam a produção e reprodução de todo o tipo de documentos, nomeadamente os científicos, surge por parte dos utilizadores a necessidade de aceder mais rapidamente às informações disponíveis, mas dispersas, e assim conseguirem abreviar outros avanços científicos</w:t>
      </w:r>
      <w:r w:rsidR="00613A54">
        <w:t xml:space="preserve"> e industriais.</w:t>
      </w:r>
      <w:r w:rsidR="00D0216C">
        <w:t xml:space="preserve"> Ficam assim criadas as condições, pela procura, para as alterações de comportamentos e </w:t>
      </w:r>
      <w:proofErr w:type="spellStart"/>
      <w:r w:rsidR="00D0216C">
        <w:t>actuação</w:t>
      </w:r>
      <w:proofErr w:type="spellEnd"/>
      <w:r w:rsidR="00D0216C">
        <w:t xml:space="preserve"> por parte das bibliotecas e pelos profissionais da informação</w:t>
      </w:r>
      <w:r w:rsidR="006F44D4">
        <w:t xml:space="preserve"> da época</w:t>
      </w:r>
      <w:r w:rsidR="00D0216C">
        <w:t xml:space="preserve">, cujos serviços baseavam-se ainda </w:t>
      </w:r>
      <w:r w:rsidR="00100F21">
        <w:t xml:space="preserve">sobremaneira </w:t>
      </w:r>
      <w:r w:rsidR="00D0216C">
        <w:t xml:space="preserve">na custódia e </w:t>
      </w:r>
      <w:r w:rsidR="00D0216C">
        <w:lastRenderedPageBreak/>
        <w:t>conservação dos documentos</w:t>
      </w:r>
      <w:r w:rsidR="006F44D4">
        <w:t>. Tornava-se premente a criação de novos serviços que organizassem a informação e a documentação.</w:t>
      </w:r>
    </w:p>
    <w:p w:rsidR="006F44D4" w:rsidRDefault="006F44D4" w:rsidP="00D0216C">
      <w:pPr>
        <w:spacing w:line="360" w:lineRule="auto"/>
        <w:ind w:firstLine="709"/>
        <w:jc w:val="both"/>
      </w:pPr>
      <w:r>
        <w:t xml:space="preserve">É já perto do final do século XIX que dão à luz as primeiras técnicas de organização da informação com a Classificação </w:t>
      </w:r>
      <w:r w:rsidR="00CE6A8A">
        <w:t>Decimal</w:t>
      </w:r>
      <w:r>
        <w:t xml:space="preserve"> de </w:t>
      </w:r>
      <w:proofErr w:type="spellStart"/>
      <w:r>
        <w:t>Dewey</w:t>
      </w:r>
      <w:proofErr w:type="spellEnd"/>
      <w:r>
        <w:t xml:space="preserve"> a que se segue um </w:t>
      </w:r>
      <w:r w:rsidR="00B85E14">
        <w:t>aperfeiçoamento, por</w:t>
      </w:r>
      <w:r>
        <w:t xml:space="preserve"> parte de Paul </w:t>
      </w:r>
      <w:proofErr w:type="spellStart"/>
      <w:r>
        <w:t>Otlet</w:t>
      </w:r>
      <w:proofErr w:type="spellEnd"/>
      <w:r>
        <w:t xml:space="preserve"> e </w:t>
      </w:r>
      <w:r w:rsidRPr="006F44D4">
        <w:t>Henri La Fontaine</w:t>
      </w:r>
      <w:r>
        <w:t xml:space="preserve"> com a Classificação Decimal Universal</w:t>
      </w:r>
      <w:r w:rsidR="0030648F">
        <w:t xml:space="preserve"> (1905)</w:t>
      </w:r>
      <w:r>
        <w:t xml:space="preserve">. </w:t>
      </w:r>
      <w:r w:rsidR="00416B68">
        <w:t>Trata-se de</w:t>
      </w:r>
      <w:r w:rsidR="0030648F">
        <w:t xml:space="preserve"> metodologias que pretendem classificar </w:t>
      </w:r>
      <w:r w:rsidR="0048621D">
        <w:t xml:space="preserve">de forma sistematizada </w:t>
      </w:r>
      <w:r w:rsidR="0030648F">
        <w:t>o conteúdo dos documentos de acordo com as áreas do saber que abordam, permitindo também o relacionamento de conteúdos e a recuperação de toda a informação, disponível e classificada, por cada uma das classes ou subclasses.</w:t>
      </w:r>
    </w:p>
    <w:p w:rsidR="0072614B" w:rsidRDefault="008E5053" w:rsidP="00CF1320">
      <w:pPr>
        <w:spacing w:line="360" w:lineRule="auto"/>
        <w:ind w:firstLine="709"/>
        <w:jc w:val="both"/>
      </w:pPr>
      <w:r>
        <w:t>Ao longo do século XX, particularmente após a II Guerra Mundial, verifica-se um aumento</w:t>
      </w:r>
      <w:r w:rsidR="00CF1320">
        <w:t>,</w:t>
      </w:r>
      <w:r>
        <w:t xml:space="preserve"> </w:t>
      </w:r>
      <w:r w:rsidR="008027C8">
        <w:t>em larguíssima escala</w:t>
      </w:r>
      <w:r w:rsidR="00CF1320">
        <w:t>,</w:t>
      </w:r>
      <w:r w:rsidR="008027C8">
        <w:t xml:space="preserve"> de toda a produção documental, veiculada principalmente pelas universidades de cariz científico</w:t>
      </w:r>
      <w:r w:rsidR="000C4A1B">
        <w:t xml:space="preserve"> que por sua vez necessitam de todos os recursos informacionais disponíveis</w:t>
      </w:r>
      <w:r w:rsidR="00CF1320">
        <w:t xml:space="preserve">, criando um dinâmica própria de produção e consumo de informação, o que veio </w:t>
      </w:r>
      <w:proofErr w:type="spellStart"/>
      <w:r w:rsidR="00CF1320">
        <w:t>afectar</w:t>
      </w:r>
      <w:proofErr w:type="spellEnd"/>
      <w:r w:rsidR="00CF1320">
        <w:t xml:space="preserve"> a distribuição e os fluxos de informação desde os </w:t>
      </w:r>
      <w:r w:rsidR="00100F21">
        <w:t xml:space="preserve">seus </w:t>
      </w:r>
      <w:r w:rsidR="00CF1320">
        <w:t>produtores até aos utilizadores finais</w:t>
      </w:r>
      <w:r w:rsidR="00225322">
        <w:t xml:space="preserve">. </w:t>
      </w:r>
      <w:r w:rsidR="00A2407C">
        <w:t xml:space="preserve">Foram aí criados os primeiros cursos superiores que formarão técnicos que, por sua vez, fomentarão a investigação em I&amp;D. </w:t>
      </w:r>
      <w:r w:rsidR="00225322">
        <w:t>São assim criados serviços que analisam, organizam, agrupam e difundem a informação</w:t>
      </w:r>
      <w:r w:rsidR="00A2407C">
        <w:t>, reproduzindo-a,</w:t>
      </w:r>
      <w:r w:rsidR="00225322">
        <w:t xml:space="preserve"> de acordo com a sua especificidade por forma a satisfazer as necessidades informacionais dos utilizadores</w:t>
      </w:r>
      <w:r w:rsidR="00A2407C">
        <w:t xml:space="preserve"> e das instituições</w:t>
      </w:r>
      <w:r w:rsidR="0072614B">
        <w:t xml:space="preserve"> que dela necessite ou venha a necessitar</w:t>
      </w:r>
      <w:r w:rsidR="00225322">
        <w:t>, produzindo documentação secundária onde esses conteúdos são representados de outra forma</w:t>
      </w:r>
      <w:r w:rsidR="00A2407C">
        <w:t>, diferente da original,</w:t>
      </w:r>
      <w:r w:rsidR="00225322">
        <w:t xml:space="preserve"> e tornar assim a recuperação dessa mesma informação mais r</w:t>
      </w:r>
      <w:r w:rsidR="00A2407C">
        <w:t>ápida,</w:t>
      </w:r>
      <w:r w:rsidR="00225322">
        <w:t xml:space="preserve"> eficiente</w:t>
      </w:r>
      <w:r w:rsidR="00A2407C">
        <w:t xml:space="preserve"> e abrangente</w:t>
      </w:r>
      <w:r w:rsidR="00225322">
        <w:t>.</w:t>
      </w:r>
      <w:r w:rsidR="00A2407C">
        <w:t xml:space="preserve"> Surgem assim os serviços de Informação e Documentação que diferem dos serviços tradicionais por produzirem</w:t>
      </w:r>
      <w:r w:rsidR="0072614B">
        <w:t>, através das suas especificidades,</w:t>
      </w:r>
      <w:r w:rsidR="00A2407C">
        <w:t xml:space="preserve"> nova informação com o apoio de recursos, técnicas e ferramentas</w:t>
      </w:r>
      <w:r w:rsidR="0072614B">
        <w:t xml:space="preserve"> que, procuram a informação e os utilizadores que dela precise, criando para tal perfis de interesses</w:t>
      </w:r>
      <w:r w:rsidR="00A2407C">
        <w:t xml:space="preserve">. </w:t>
      </w:r>
    </w:p>
    <w:p w:rsidR="00B3311F" w:rsidRDefault="0072614B" w:rsidP="00CF1320">
      <w:pPr>
        <w:spacing w:line="360" w:lineRule="auto"/>
        <w:ind w:firstLine="709"/>
        <w:jc w:val="both"/>
      </w:pPr>
      <w:r>
        <w:t xml:space="preserve">Pelas características de que estes serviços se revestem e, pela forma como tratam, produzem e difundem esta </w:t>
      </w:r>
      <w:r w:rsidR="00A2407C">
        <w:t>informação</w:t>
      </w:r>
      <w:r>
        <w:t>, aquela é</w:t>
      </w:r>
      <w:r w:rsidR="00A2407C">
        <w:t xml:space="preserve"> designad</w:t>
      </w:r>
      <w:r>
        <w:t>a</w:t>
      </w:r>
      <w:r w:rsidR="00A2407C">
        <w:t xml:space="preserve"> por </w:t>
      </w:r>
      <w:r w:rsidR="00A2407C" w:rsidRPr="00A2407C">
        <w:t>Informação científico-técnica</w:t>
      </w:r>
      <w:r w:rsidR="00267433">
        <w:t xml:space="preserve"> e tem, como desde sempre, o </w:t>
      </w:r>
      <w:proofErr w:type="spellStart"/>
      <w:r w:rsidR="00267433">
        <w:t>objectivo</w:t>
      </w:r>
      <w:proofErr w:type="spellEnd"/>
      <w:r w:rsidR="00267433">
        <w:t xml:space="preserve"> de satisfazer as necessidades de informação dos utilizadores</w:t>
      </w:r>
      <w:r w:rsidR="00AC2518">
        <w:t xml:space="preserve"> e contribuir, assim, para com uma maior produção de conhecimento.</w:t>
      </w:r>
    </w:p>
    <w:p w:rsidR="00100F21" w:rsidRDefault="0072614B" w:rsidP="00100F21">
      <w:pPr>
        <w:spacing w:line="360" w:lineRule="auto"/>
        <w:jc w:val="both"/>
      </w:pPr>
      <w:r>
        <w:br w:type="page"/>
      </w:r>
    </w:p>
    <w:p w:rsidR="00416B68" w:rsidRDefault="00B211E7" w:rsidP="00100F21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lastRenderedPageBreak/>
        <w:t>A documentação científico-técnica é importante pela forma como trata a informação e a difunde junto dos utilizadores.</w:t>
      </w:r>
    </w:p>
    <w:p w:rsidR="00A2407C" w:rsidRDefault="00FE5D17" w:rsidP="00CF1320">
      <w:pPr>
        <w:spacing w:line="360" w:lineRule="auto"/>
        <w:ind w:firstLine="709"/>
        <w:jc w:val="both"/>
      </w:pPr>
      <w:r>
        <w:t>A</w:t>
      </w:r>
      <w:r w:rsidR="006703EF">
        <w:t xml:space="preserve"> documentação resultante da análise de conteúdos onde a informação é organizada, classificada, indexada, </w:t>
      </w:r>
      <w:r w:rsidR="00DE100C">
        <w:t>através de ferramentas</w:t>
      </w:r>
      <w:r w:rsidR="00AC2518">
        <w:t xml:space="preserve">, tais </w:t>
      </w:r>
      <w:r w:rsidR="00DE100C">
        <w:t xml:space="preserve">como </w:t>
      </w:r>
      <w:r w:rsidR="0078388E">
        <w:t>n</w:t>
      </w:r>
      <w:r w:rsidR="00AC2518">
        <w:t>ormas</w:t>
      </w:r>
      <w:r w:rsidR="0078388E">
        <w:t xml:space="preserve"> nacionais e internacionais</w:t>
      </w:r>
      <w:r w:rsidR="00AC2518">
        <w:t xml:space="preserve"> </w:t>
      </w:r>
      <w:r w:rsidR="0078388E">
        <w:t xml:space="preserve">para a documentação </w:t>
      </w:r>
      <w:r w:rsidR="00AC2518">
        <w:t>e</w:t>
      </w:r>
      <w:r w:rsidR="00DE100C">
        <w:t xml:space="preserve"> </w:t>
      </w:r>
      <w:r w:rsidR="0078388E">
        <w:t xml:space="preserve">as </w:t>
      </w:r>
      <w:r w:rsidR="00AC2518">
        <w:t>l</w:t>
      </w:r>
      <w:r w:rsidR="00DE100C">
        <w:t xml:space="preserve">inguagens documentais, </w:t>
      </w:r>
      <w:r w:rsidR="00267433">
        <w:t>classificatórias</w:t>
      </w:r>
      <w:r w:rsidR="00DE100C">
        <w:t xml:space="preserve">, como a CDU, e </w:t>
      </w:r>
      <w:r w:rsidR="00267433">
        <w:t xml:space="preserve">as </w:t>
      </w:r>
      <w:r w:rsidR="00DE100C">
        <w:t>de indexação, como os Thesauri, ond</w:t>
      </w:r>
      <w:r w:rsidR="006703EF">
        <w:t>e são também produzidas sínteses, ou resumos, traduções, onde os vários serviços trocam informações entre si, onde os conteúdos são relacionados</w:t>
      </w:r>
      <w:r w:rsidR="00267433">
        <w:t xml:space="preserve"> </w:t>
      </w:r>
      <w:r w:rsidR="006703EF">
        <w:t xml:space="preserve">entre os vários documentos analisados, </w:t>
      </w:r>
      <w:r w:rsidR="00267433">
        <w:t xml:space="preserve">pelo estabelecimento de termos, ou conceitos, que os identificam, obtidos normalmente de Thesauri, e </w:t>
      </w:r>
      <w:r w:rsidR="006703EF">
        <w:t xml:space="preserve">se procuram </w:t>
      </w:r>
      <w:proofErr w:type="spellStart"/>
      <w:r w:rsidR="006703EF">
        <w:t>actualizações</w:t>
      </w:r>
      <w:proofErr w:type="spellEnd"/>
      <w:r w:rsidR="006703EF">
        <w:t xml:space="preserve"> a esses mesmos conteúdos</w:t>
      </w:r>
      <w:r w:rsidR="00267433">
        <w:t>.</w:t>
      </w:r>
    </w:p>
    <w:p w:rsidR="006703EF" w:rsidRDefault="006703EF" w:rsidP="006703EF">
      <w:pPr>
        <w:spacing w:line="360" w:lineRule="auto"/>
        <w:ind w:firstLine="709"/>
        <w:jc w:val="both"/>
      </w:pPr>
      <w:r>
        <w:t>Tod</w:t>
      </w:r>
      <w:r w:rsidR="00DE100C">
        <w:t>a</w:t>
      </w:r>
      <w:r>
        <w:t xml:space="preserve"> est</w:t>
      </w:r>
      <w:r w:rsidR="00DE100C">
        <w:t xml:space="preserve">a </w:t>
      </w:r>
      <w:r>
        <w:t xml:space="preserve">análise é </w:t>
      </w:r>
      <w:r w:rsidR="00FE5D17">
        <w:t>produzid</w:t>
      </w:r>
      <w:r w:rsidR="00DE100C">
        <w:t>a</w:t>
      </w:r>
      <w:r>
        <w:t xml:space="preserve"> a partir das expectativas que os utilizadores vão colocando ao longo tempo com vista a recuperar informação relevante e </w:t>
      </w:r>
      <w:proofErr w:type="spellStart"/>
      <w:r>
        <w:t>actualizada</w:t>
      </w:r>
      <w:proofErr w:type="spellEnd"/>
      <w:r>
        <w:t>. É</w:t>
      </w:r>
      <w:r w:rsidR="00FE5D17">
        <w:t>,</w:t>
      </w:r>
      <w:r>
        <w:t xml:space="preserve"> assim</w:t>
      </w:r>
      <w:r w:rsidR="00FE5D17">
        <w:t>,</w:t>
      </w:r>
      <w:r>
        <w:t xml:space="preserve"> necessário conhecer as necessidades dos utilizadores, por forma a produzir toda a documentação que vá de encontro aos seus interesses e necessidades.</w:t>
      </w:r>
    </w:p>
    <w:p w:rsidR="006703EF" w:rsidRDefault="00DE100C" w:rsidP="006703EF">
      <w:pPr>
        <w:spacing w:line="360" w:lineRule="auto"/>
        <w:ind w:firstLine="709"/>
        <w:jc w:val="both"/>
      </w:pPr>
      <w:r>
        <w:t>O resultado de t</w:t>
      </w:r>
      <w:r w:rsidR="006703EF">
        <w:t>odo este trabalho é assim difundido e publicitado junto d</w:t>
      </w:r>
      <w:r w:rsidR="00267433">
        <w:t>e</w:t>
      </w:r>
      <w:r w:rsidR="006703EF">
        <w:t xml:space="preserve"> utilizadores</w:t>
      </w:r>
      <w:r w:rsidR="00267433">
        <w:t xml:space="preserve"> previamente identificados, nomeadamente</w:t>
      </w:r>
      <w:r w:rsidR="0078388E">
        <w:t>,</w:t>
      </w:r>
      <w:r w:rsidR="00267433">
        <w:t xml:space="preserve"> </w:t>
      </w:r>
      <w:r w:rsidR="0078388E">
        <w:t xml:space="preserve">Instituições de Investigação, </w:t>
      </w:r>
      <w:r w:rsidR="00267433">
        <w:t>cientistas, técnicos das mais diversas áreas</w:t>
      </w:r>
      <w:r w:rsidR="0078388E">
        <w:t xml:space="preserve"> e</w:t>
      </w:r>
      <w:r w:rsidR="00267433">
        <w:t xml:space="preserve"> estudantes, ou de potenciais utilizadores.</w:t>
      </w:r>
    </w:p>
    <w:p w:rsidR="0043154C" w:rsidRDefault="0043154C" w:rsidP="0078388E">
      <w:pPr>
        <w:spacing w:line="360" w:lineRule="auto"/>
        <w:ind w:firstLine="709"/>
        <w:jc w:val="both"/>
      </w:pPr>
    </w:p>
    <w:p w:rsidR="0078388E" w:rsidRDefault="0078388E" w:rsidP="0078388E">
      <w:pPr>
        <w:spacing w:line="360" w:lineRule="auto"/>
        <w:ind w:firstLine="709"/>
        <w:jc w:val="both"/>
      </w:pPr>
    </w:p>
    <w:p w:rsidR="0010228D" w:rsidRPr="0010228D" w:rsidRDefault="0010228D" w:rsidP="005A170C">
      <w:pPr>
        <w:spacing w:line="360" w:lineRule="auto"/>
        <w:jc w:val="both"/>
        <w:rPr>
          <w:b/>
        </w:rPr>
      </w:pPr>
      <w:r w:rsidRPr="0010228D">
        <w:rPr>
          <w:b/>
        </w:rPr>
        <w:t>Bibliografia</w:t>
      </w:r>
    </w:p>
    <w:p w:rsidR="000E55B0" w:rsidRPr="0078388E" w:rsidRDefault="000E55B0" w:rsidP="00AC602E">
      <w:pPr>
        <w:spacing w:after="120" w:line="360" w:lineRule="auto"/>
        <w:ind w:left="567" w:hanging="567"/>
      </w:pPr>
      <w:r w:rsidRPr="0078388E">
        <w:t>SILVA, Armando Malheiro [</w:t>
      </w:r>
      <w:proofErr w:type="spellStart"/>
      <w:r w:rsidRPr="0078388E">
        <w:t>et</w:t>
      </w:r>
      <w:proofErr w:type="spellEnd"/>
      <w:r w:rsidRPr="0078388E">
        <w:t xml:space="preserve"> </w:t>
      </w:r>
      <w:proofErr w:type="spellStart"/>
      <w:r w:rsidRPr="0078388E">
        <w:t>all</w:t>
      </w:r>
      <w:proofErr w:type="spellEnd"/>
      <w:r w:rsidRPr="0078388E">
        <w:t xml:space="preserve">] – </w:t>
      </w:r>
      <w:proofErr w:type="gramStart"/>
      <w:r w:rsidRPr="0078388E">
        <w:rPr>
          <w:i/>
        </w:rPr>
        <w:t>Arquivística</w:t>
      </w:r>
      <w:r w:rsidR="00267433" w:rsidRPr="0078388E">
        <w:rPr>
          <w:i/>
        </w:rPr>
        <w:t xml:space="preserve"> </w:t>
      </w:r>
      <w:proofErr w:type="gramEnd"/>
      <w:r w:rsidR="00267433" w:rsidRPr="0078388E">
        <w:rPr>
          <w:i/>
        </w:rPr>
        <w:t xml:space="preserve">: Teoria e </w:t>
      </w:r>
      <w:proofErr w:type="gramStart"/>
      <w:r w:rsidR="00267433" w:rsidRPr="0078388E">
        <w:rPr>
          <w:i/>
        </w:rPr>
        <w:t>pratica</w:t>
      </w:r>
      <w:proofErr w:type="gramEnd"/>
      <w:r w:rsidR="00267433" w:rsidRPr="0078388E">
        <w:rPr>
          <w:i/>
        </w:rPr>
        <w:t xml:space="preserve"> de uma ciência da informação</w:t>
      </w:r>
      <w:r w:rsidRPr="0078388E">
        <w:t xml:space="preserve">. Lisboa: Edições Afrontamento, 2009 </w:t>
      </w:r>
    </w:p>
    <w:p w:rsidR="0010228D" w:rsidRPr="0078388E" w:rsidRDefault="0043154C" w:rsidP="00AC602E">
      <w:pPr>
        <w:spacing w:after="120" w:line="360" w:lineRule="auto"/>
        <w:ind w:left="567" w:hanging="567"/>
      </w:pPr>
      <w:r w:rsidRPr="0078388E">
        <w:t xml:space="preserve">SILVA, Armando Malheiro </w:t>
      </w:r>
      <w:proofErr w:type="gramStart"/>
      <w:r w:rsidRPr="0078388E">
        <w:t>da</w:t>
      </w:r>
      <w:proofErr w:type="gramEnd"/>
      <w:r w:rsidRPr="0078388E">
        <w:t xml:space="preserve">; RIBEIRO, Fernanda – </w:t>
      </w:r>
      <w:r w:rsidRPr="0078388E">
        <w:rPr>
          <w:i/>
        </w:rPr>
        <w:t>R</w:t>
      </w:r>
      <w:r w:rsidR="00AC602E" w:rsidRPr="0078388E">
        <w:rPr>
          <w:i/>
        </w:rPr>
        <w:t xml:space="preserve">ecursos de </w:t>
      </w:r>
      <w:proofErr w:type="gramStart"/>
      <w:r w:rsidR="00AC602E" w:rsidRPr="0078388E">
        <w:rPr>
          <w:i/>
        </w:rPr>
        <w:t xml:space="preserve">Informação </w:t>
      </w:r>
      <w:proofErr w:type="gramEnd"/>
      <w:r w:rsidR="00AC602E" w:rsidRPr="0078388E">
        <w:rPr>
          <w:i/>
        </w:rPr>
        <w:t>: Serviços e Utilizadores</w:t>
      </w:r>
      <w:r w:rsidRPr="0078388E">
        <w:t>. Lisboa: Universidade Aberta, 2010</w:t>
      </w:r>
    </w:p>
    <w:p w:rsidR="0043154C" w:rsidRDefault="0043154C" w:rsidP="0078388E">
      <w:pPr>
        <w:spacing w:line="360" w:lineRule="auto"/>
        <w:jc w:val="both"/>
      </w:pPr>
    </w:p>
    <w:p w:rsidR="0010228D" w:rsidRDefault="0010228D" w:rsidP="005A170C">
      <w:pPr>
        <w:spacing w:line="360" w:lineRule="auto"/>
        <w:jc w:val="both"/>
        <w:rPr>
          <w:b/>
        </w:rPr>
      </w:pPr>
      <w:proofErr w:type="spellStart"/>
      <w:r w:rsidRPr="0010228D">
        <w:rPr>
          <w:b/>
        </w:rPr>
        <w:t>Webgrafia</w:t>
      </w:r>
      <w:proofErr w:type="spellEnd"/>
    </w:p>
    <w:p w:rsidR="0043154C" w:rsidRPr="0078388E" w:rsidRDefault="0010228D" w:rsidP="00AC602E">
      <w:pPr>
        <w:spacing w:after="120" w:line="360" w:lineRule="auto"/>
        <w:ind w:left="567" w:hanging="567"/>
      </w:pPr>
      <w:r w:rsidRPr="0078388E">
        <w:t xml:space="preserve">SANTOS, </w:t>
      </w:r>
      <w:proofErr w:type="spellStart"/>
      <w:r w:rsidRPr="0078388E">
        <w:t>Paola</w:t>
      </w:r>
      <w:proofErr w:type="spellEnd"/>
      <w:r w:rsidRPr="0078388E">
        <w:t xml:space="preserve"> - </w:t>
      </w:r>
      <w:r w:rsidR="0043154C" w:rsidRPr="0078388E">
        <w:rPr>
          <w:i/>
        </w:rPr>
        <w:t xml:space="preserve">Paul </w:t>
      </w:r>
      <w:proofErr w:type="spellStart"/>
      <w:r w:rsidR="0043154C" w:rsidRPr="0078388E">
        <w:rPr>
          <w:i/>
        </w:rPr>
        <w:t>Otlet</w:t>
      </w:r>
      <w:proofErr w:type="spellEnd"/>
      <w:r w:rsidR="0043154C" w:rsidRPr="0078388E">
        <w:rPr>
          <w:i/>
        </w:rPr>
        <w:t>: um pioneiro da organização das redes mundiais de tratamento e difusão da informação registrada</w:t>
      </w:r>
      <w:r w:rsidR="0043154C" w:rsidRPr="0078388E">
        <w:t xml:space="preserve"> [Em Linha]. </w:t>
      </w:r>
      <w:r w:rsidR="00BA4163" w:rsidRPr="0078388E">
        <w:t xml:space="preserve">Brasília: </w:t>
      </w:r>
      <w:r w:rsidR="0078388E">
        <w:t>IBICT</w:t>
      </w:r>
      <w:r w:rsidR="00BA4163" w:rsidRPr="0078388E">
        <w:t>,</w:t>
      </w:r>
      <w:r w:rsidR="0078388E">
        <w:t xml:space="preserve"> </w:t>
      </w:r>
      <w:r w:rsidR="00BA4163" w:rsidRPr="0078388E">
        <w:t xml:space="preserve">2007. </w:t>
      </w:r>
      <w:r w:rsidR="006911E1" w:rsidRPr="0078388E">
        <w:t>[</w:t>
      </w:r>
      <w:proofErr w:type="spellStart"/>
      <w:r w:rsidR="006911E1" w:rsidRPr="0078388E">
        <w:t>Consult</w:t>
      </w:r>
      <w:proofErr w:type="spellEnd"/>
      <w:r w:rsidR="006911E1" w:rsidRPr="0078388E">
        <w:t>. 16 Mai. 2007]</w:t>
      </w:r>
      <w:r w:rsidR="0078388E">
        <w:t>.</w:t>
      </w:r>
      <w:r w:rsidR="006911E1" w:rsidRPr="0078388E">
        <w:t xml:space="preserve"> </w:t>
      </w:r>
      <w:r w:rsidR="0043154C" w:rsidRPr="0078388E">
        <w:t xml:space="preserve">Disponível em </w:t>
      </w:r>
      <w:hyperlink r:id="rId9" w:history="1">
        <w:r w:rsidR="0043154C" w:rsidRPr="0078388E">
          <w:rPr>
            <w:rStyle w:val="Hyperlink"/>
          </w:rPr>
          <w:t>http://revista.ibict.br/ciinf/index.php/ciinf/article/view/971/719</w:t>
        </w:r>
      </w:hyperlink>
      <w:r w:rsidR="0043154C" w:rsidRPr="0078388E">
        <w:t xml:space="preserve"> </w:t>
      </w:r>
    </w:p>
    <w:p w:rsidR="0043154C" w:rsidRDefault="0043154C" w:rsidP="0043154C">
      <w:pPr>
        <w:spacing w:line="360" w:lineRule="auto"/>
        <w:jc w:val="both"/>
      </w:pPr>
    </w:p>
    <w:p w:rsidR="004A2FB5" w:rsidRDefault="004A2FB5">
      <w:r>
        <w:br w:type="page"/>
      </w:r>
    </w:p>
    <w:p w:rsidR="004A2FB5" w:rsidRDefault="004A2FB5" w:rsidP="0043154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125"/>
        <w:gridCol w:w="483"/>
        <w:gridCol w:w="1252"/>
        <w:gridCol w:w="5032"/>
      </w:tblGrid>
      <w:tr w:rsidR="004A2FB5" w:rsidRPr="004A2FB5" w:rsidTr="004A2FB5">
        <w:tc>
          <w:tcPr>
            <w:tcW w:w="0" w:type="auto"/>
            <w:vAlign w:val="center"/>
            <w:hideMark/>
          </w:tcPr>
          <w:p w:rsidR="004A2FB5" w:rsidRPr="004A2FB5" w:rsidRDefault="004A2F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Item Notas</w:t>
            </w:r>
          </w:p>
        </w:tc>
        <w:tc>
          <w:tcPr>
            <w:tcW w:w="0" w:type="auto"/>
            <w:vAlign w:val="center"/>
            <w:hideMark/>
          </w:tcPr>
          <w:p w:rsidR="004A2FB5" w:rsidRPr="004A2FB5" w:rsidRDefault="004A2F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Área</w:t>
            </w:r>
          </w:p>
        </w:tc>
        <w:tc>
          <w:tcPr>
            <w:tcW w:w="0" w:type="auto"/>
            <w:vAlign w:val="center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0" w:type="auto"/>
            <w:vAlign w:val="center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Percentagem</w:t>
            </w:r>
          </w:p>
        </w:tc>
        <w:tc>
          <w:tcPr>
            <w:tcW w:w="0" w:type="auto"/>
            <w:vAlign w:val="center"/>
            <w:hideMark/>
          </w:tcPr>
          <w:p w:rsidR="004A2FB5" w:rsidRPr="004A2FB5" w:rsidRDefault="004A2F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A2FB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 suas opiniões</w:t>
            </w:r>
            <w:proofErr w:type="gramEnd"/>
          </w:p>
        </w:tc>
      </w:tr>
      <w:tr w:rsidR="004A2FB5" w:rsidRPr="004A2FB5" w:rsidTr="004A2FB5"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hyperlink r:id="rId10" w:history="1">
              <w:r w:rsidRPr="004A2FB5">
                <w:rPr>
                  <w:rFonts w:cs="Times New Roman"/>
                  <w:noProof/>
                  <w:color w:val="0C2D51"/>
                  <w:sz w:val="22"/>
                  <w:szCs w:val="22"/>
                  <w:lang w:eastAsia="pt-PT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6" name="Picture 1" descr="Trabalho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A2FB5">
                <w:rPr>
                  <w:rStyle w:val="Hyperlink"/>
                  <w:rFonts w:cs="Times New Roman"/>
                  <w:sz w:val="22"/>
                  <w:szCs w:val="22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 xml:space="preserve">Avaliação </w:t>
            </w:r>
            <w:proofErr w:type="spellStart"/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90,00 %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pStyle w:val="NormalWeb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color w:val="000000"/>
                <w:sz w:val="22"/>
                <w:szCs w:val="22"/>
              </w:rPr>
              <w:t xml:space="preserve">Muito bom trabalho com referências de bibliografia suplementar e citações para reforçar a sua argumentação. Com uma nota de rodapé explicativa (as outras podem também entrar como </w:t>
            </w:r>
            <w:proofErr w:type="spellStart"/>
            <w:r w:rsidRPr="004A2FB5">
              <w:rPr>
                <w:rFonts w:cs="Times New Roman"/>
                <w:color w:val="000000"/>
                <w:sz w:val="22"/>
                <w:szCs w:val="22"/>
              </w:rPr>
              <w:t>ref</w:t>
            </w:r>
            <w:proofErr w:type="spellEnd"/>
            <w:r w:rsidRPr="004A2FB5">
              <w:rPr>
                <w:rFonts w:cs="Times New Roman"/>
                <w:color w:val="000000"/>
                <w:sz w:val="22"/>
                <w:szCs w:val="22"/>
              </w:rPr>
              <w:t xml:space="preserve">. bibl. no texto, por ex.: nº 3: (Silva e Ribeiro, 2010: 17). </w:t>
            </w:r>
            <w:proofErr w:type="spellStart"/>
            <w:r w:rsidRPr="004A2FB5">
              <w:rPr>
                <w:rFonts w:cs="Times New Roman"/>
                <w:color w:val="000000"/>
                <w:sz w:val="22"/>
                <w:szCs w:val="22"/>
              </w:rPr>
              <w:t>Ref.bibl</w:t>
            </w:r>
            <w:proofErr w:type="spellEnd"/>
            <w:r w:rsidRPr="004A2FB5">
              <w:rPr>
                <w:rFonts w:cs="Times New Roman"/>
                <w:color w:val="000000"/>
                <w:sz w:val="22"/>
                <w:szCs w:val="22"/>
              </w:rPr>
              <w:t>. e bibliografia não sempre conforme as normas estabelecidas.</w:t>
            </w:r>
          </w:p>
        </w:tc>
      </w:tr>
      <w:tr w:rsidR="004A2FB5" w:rsidRPr="004A2FB5" w:rsidTr="004A2FB5"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hyperlink r:id="rId12" w:history="1">
              <w:r w:rsidRPr="004A2FB5">
                <w:rPr>
                  <w:rFonts w:cs="Times New Roman"/>
                  <w:noProof/>
                  <w:color w:val="0C2D51"/>
                  <w:sz w:val="22"/>
                  <w:szCs w:val="22"/>
                  <w:lang w:eastAsia="pt-PT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" name="Picture 2" descr="Trabalh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A2FB5">
                <w:rPr>
                  <w:rStyle w:val="Hyperlink"/>
                  <w:rFonts w:cs="Times New Roman"/>
                  <w:sz w:val="22"/>
                  <w:szCs w:val="22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 xml:space="preserve">Avaliação </w:t>
            </w:r>
            <w:proofErr w:type="spellStart"/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82,50 %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pStyle w:val="NormalWeb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color w:val="000000"/>
                <w:sz w:val="22"/>
                <w:szCs w:val="22"/>
              </w:rPr>
              <w:t xml:space="preserve">Bom trabalho. Devia utilizar mais notas de rodapé explicativas (como a 3), por exemplo para ‘Classificação Decimal de </w:t>
            </w:r>
            <w:proofErr w:type="spellStart"/>
            <w:r w:rsidRPr="004A2FB5">
              <w:rPr>
                <w:rFonts w:cs="Times New Roman"/>
                <w:color w:val="000000"/>
                <w:sz w:val="22"/>
                <w:szCs w:val="22"/>
              </w:rPr>
              <w:t>Dewey</w:t>
            </w:r>
            <w:proofErr w:type="spellEnd"/>
            <w:r w:rsidRPr="004A2FB5">
              <w:rPr>
                <w:rFonts w:cs="Times New Roman"/>
                <w:color w:val="000000"/>
                <w:sz w:val="22"/>
                <w:szCs w:val="22"/>
              </w:rPr>
              <w:t xml:space="preserve">’, ‘Henri La Fontaine’, ‘Classificação Decimal Universal’. Meras </w:t>
            </w:r>
            <w:proofErr w:type="spellStart"/>
            <w:r w:rsidRPr="004A2FB5">
              <w:rPr>
                <w:rFonts w:cs="Times New Roman"/>
                <w:color w:val="000000"/>
                <w:sz w:val="22"/>
                <w:szCs w:val="22"/>
              </w:rPr>
              <w:t>ref</w:t>
            </w:r>
            <w:proofErr w:type="spellEnd"/>
            <w:r w:rsidRPr="004A2FB5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4A2FB5">
              <w:rPr>
                <w:rFonts w:cs="Times New Roman"/>
                <w:color w:val="000000"/>
                <w:sz w:val="22"/>
                <w:szCs w:val="22"/>
              </w:rPr>
              <w:t>bibliogr</w:t>
            </w:r>
            <w:proofErr w:type="spellEnd"/>
            <w:proofErr w:type="gramEnd"/>
            <w:r w:rsidRPr="004A2FB5">
              <w:rPr>
                <w:rFonts w:cs="Times New Roman"/>
                <w:color w:val="000000"/>
                <w:sz w:val="22"/>
                <w:szCs w:val="22"/>
              </w:rPr>
              <w:t>. (como 1 e 2) podem ser integradas no texto. Resposta b) pouco pormenorizada.</w:t>
            </w:r>
          </w:p>
        </w:tc>
      </w:tr>
      <w:tr w:rsidR="004A2FB5" w:rsidRPr="004A2FB5" w:rsidTr="004A2FB5"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noProof/>
                <w:color w:val="000000"/>
                <w:sz w:val="22"/>
                <w:szCs w:val="22"/>
                <w:lang w:eastAsia="pt-PT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E-fólios</w:t>
            </w:r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 xml:space="preserve">Avaliação </w:t>
            </w:r>
            <w:proofErr w:type="spellStart"/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86,25 %</w:t>
            </w:r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A2FB5" w:rsidRPr="004A2FB5" w:rsidTr="004A2FB5"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hyperlink r:id="rId14" w:history="1">
              <w:r w:rsidRPr="004A2FB5">
                <w:rPr>
                  <w:rFonts w:cs="Times New Roman"/>
                  <w:noProof/>
                  <w:color w:val="0C2D51"/>
                  <w:sz w:val="22"/>
                  <w:szCs w:val="22"/>
                  <w:lang w:eastAsia="pt-PT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" name="Picture 4" descr="Trabalho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rabalho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A2FB5">
                <w:rPr>
                  <w:rStyle w:val="Hyperlink"/>
                  <w:rFonts w:cs="Times New Roman"/>
                  <w:sz w:val="22"/>
                  <w:szCs w:val="22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Avaliação Contínua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gradeitem"/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A2FB5" w:rsidRPr="004A2FB5" w:rsidTr="004A2FB5"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Fonts w:cs="Times New Roman"/>
                <w:noProof/>
                <w:color w:val="000000"/>
                <w:sz w:val="22"/>
                <w:szCs w:val="22"/>
                <w:lang w:eastAsia="pt-PT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Pontos acumulados</w:t>
            </w:r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Avaliação Contínua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0" w:type="auto"/>
            <w:hideMark/>
          </w:tcPr>
          <w:p w:rsidR="004A2FB5" w:rsidRPr="004A2FB5" w:rsidRDefault="004A2FB5" w:rsidP="004A2F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2FB5">
              <w:rPr>
                <w:rStyle w:val="categoryitem2"/>
                <w:rFonts w:cs="Times New Roman"/>
                <w:color w:val="000000"/>
                <w:sz w:val="22"/>
                <w:szCs w:val="22"/>
              </w:rPr>
              <w:t>34,50 %</w:t>
            </w:r>
          </w:p>
        </w:tc>
        <w:tc>
          <w:tcPr>
            <w:tcW w:w="0" w:type="auto"/>
            <w:hideMark/>
          </w:tcPr>
          <w:p w:rsidR="004A2FB5" w:rsidRPr="004A2FB5" w:rsidRDefault="004A2FB5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4A2FB5" w:rsidRPr="0043154C" w:rsidRDefault="004A2FB5" w:rsidP="0043154C">
      <w:pPr>
        <w:spacing w:line="360" w:lineRule="auto"/>
        <w:jc w:val="both"/>
      </w:pPr>
    </w:p>
    <w:sectPr w:rsidR="004A2FB5" w:rsidRPr="0043154C" w:rsidSect="0087132F">
      <w:footerReference w:type="default" r:id="rId15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AF" w:rsidRDefault="00EB1AAF">
      <w:r>
        <w:separator/>
      </w:r>
    </w:p>
  </w:endnote>
  <w:endnote w:type="continuationSeparator" w:id="0">
    <w:p w:rsidR="00EB1AAF" w:rsidRDefault="00EB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99" w:rsidRDefault="009846BD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B0399" w:rsidRDefault="009846B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B039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A2FB5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AF" w:rsidRDefault="00EB1AAF">
      <w:r>
        <w:separator/>
      </w:r>
    </w:p>
  </w:footnote>
  <w:footnote w:type="continuationSeparator" w:id="0">
    <w:p w:rsidR="00EB1AAF" w:rsidRDefault="00EB1AAF">
      <w:r>
        <w:continuationSeparator/>
      </w:r>
    </w:p>
  </w:footnote>
  <w:footnote w:id="1">
    <w:p w:rsidR="00BA4163" w:rsidRDefault="00BA4163">
      <w:pPr>
        <w:pStyle w:val="FootnoteText"/>
      </w:pPr>
      <w:r>
        <w:rPr>
          <w:rStyle w:val="FootnoteReference"/>
        </w:rPr>
        <w:footnoteRef/>
      </w:r>
      <w:r>
        <w:t xml:space="preserve"> SANTOS</w:t>
      </w:r>
      <w:r w:rsidR="0097333B">
        <w:t>,</w:t>
      </w:r>
      <w:r>
        <w:t xml:space="preserve"> 2007</w:t>
      </w:r>
      <w:r w:rsidR="0097333B">
        <w:t>:</w:t>
      </w:r>
      <w:r>
        <w:t xml:space="preserve"> 54</w:t>
      </w:r>
    </w:p>
  </w:footnote>
  <w:footnote w:id="2">
    <w:p w:rsidR="00992A87" w:rsidRDefault="00992A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SILVA</w:t>
      </w:r>
      <w:r w:rsidR="000E55B0">
        <w:t>b</w:t>
      </w:r>
      <w:proofErr w:type="spellEnd"/>
      <w:r w:rsidR="0097333B">
        <w:t>,</w:t>
      </w:r>
      <w:r>
        <w:t xml:space="preserve"> 2010</w:t>
      </w:r>
      <w:r w:rsidR="0097333B">
        <w:t>:</w:t>
      </w:r>
      <w:r>
        <w:t xml:space="preserve"> 49</w:t>
      </w:r>
    </w:p>
  </w:footnote>
  <w:footnote w:id="3">
    <w:p w:rsidR="000E55B0" w:rsidRDefault="000E55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SILVAa</w:t>
      </w:r>
      <w:proofErr w:type="spellEnd"/>
      <w:r w:rsidR="0097333B">
        <w:t>,</w:t>
      </w:r>
      <w:r>
        <w:t xml:space="preserve"> 2009</w:t>
      </w:r>
      <w:r w:rsidR="0097333B">
        <w:t>:</w:t>
      </w:r>
      <w:r>
        <w:t xml:space="preserve"> 28. </w:t>
      </w:r>
      <w:r w:rsidR="00D0216C">
        <w:t xml:space="preserve">Com </w:t>
      </w:r>
      <w:proofErr w:type="spellStart"/>
      <w:r>
        <w:t>Konrad</w:t>
      </w:r>
      <w:proofErr w:type="spellEnd"/>
      <w:r>
        <w:t xml:space="preserve"> </w:t>
      </w:r>
      <w:proofErr w:type="spellStart"/>
      <w:r>
        <w:t>Gesner</w:t>
      </w:r>
      <w:proofErr w:type="spellEnd"/>
      <w:r>
        <w:t xml:space="preserve"> grande percursor das bibliografias cient</w:t>
      </w:r>
      <w:r w:rsidR="00D0216C">
        <w:t>íficas</w:t>
      </w:r>
      <w:r w:rsidR="00AC251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A978E7"/>
    <w:multiLevelType w:val="hybridMultilevel"/>
    <w:tmpl w:val="2DA0C6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6A91"/>
    <w:rsid w:val="00055FBF"/>
    <w:rsid w:val="000B00FC"/>
    <w:rsid w:val="000B0A4B"/>
    <w:rsid w:val="000C4A1B"/>
    <w:rsid w:val="000E55B0"/>
    <w:rsid w:val="00100F21"/>
    <w:rsid w:val="0010228D"/>
    <w:rsid w:val="0017473E"/>
    <w:rsid w:val="001D78B6"/>
    <w:rsid w:val="00225322"/>
    <w:rsid w:val="00234D2B"/>
    <w:rsid w:val="00267433"/>
    <w:rsid w:val="00276A91"/>
    <w:rsid w:val="0030648F"/>
    <w:rsid w:val="00416B68"/>
    <w:rsid w:val="0043154C"/>
    <w:rsid w:val="0048621D"/>
    <w:rsid w:val="00495E5C"/>
    <w:rsid w:val="004A2FB5"/>
    <w:rsid w:val="004F116A"/>
    <w:rsid w:val="005A170C"/>
    <w:rsid w:val="005B0399"/>
    <w:rsid w:val="005D68E9"/>
    <w:rsid w:val="00613A54"/>
    <w:rsid w:val="006703EF"/>
    <w:rsid w:val="006911E1"/>
    <w:rsid w:val="006F44D4"/>
    <w:rsid w:val="006F68D8"/>
    <w:rsid w:val="0072614B"/>
    <w:rsid w:val="0078388E"/>
    <w:rsid w:val="007849EE"/>
    <w:rsid w:val="008027C8"/>
    <w:rsid w:val="00836FE2"/>
    <w:rsid w:val="0087132F"/>
    <w:rsid w:val="00874B41"/>
    <w:rsid w:val="008E5053"/>
    <w:rsid w:val="008F028D"/>
    <w:rsid w:val="0097333B"/>
    <w:rsid w:val="009846BD"/>
    <w:rsid w:val="00992A87"/>
    <w:rsid w:val="009C4F33"/>
    <w:rsid w:val="009D7862"/>
    <w:rsid w:val="00A2407C"/>
    <w:rsid w:val="00AA5273"/>
    <w:rsid w:val="00AC2518"/>
    <w:rsid w:val="00AC602E"/>
    <w:rsid w:val="00AD4FAE"/>
    <w:rsid w:val="00AE15E8"/>
    <w:rsid w:val="00B211E7"/>
    <w:rsid w:val="00B27CD3"/>
    <w:rsid w:val="00B3311F"/>
    <w:rsid w:val="00B461AC"/>
    <w:rsid w:val="00B53329"/>
    <w:rsid w:val="00B85E14"/>
    <w:rsid w:val="00BA4163"/>
    <w:rsid w:val="00BD17BA"/>
    <w:rsid w:val="00BD2082"/>
    <w:rsid w:val="00BD4E53"/>
    <w:rsid w:val="00CE40FA"/>
    <w:rsid w:val="00CE6A8A"/>
    <w:rsid w:val="00CF1320"/>
    <w:rsid w:val="00D0216C"/>
    <w:rsid w:val="00D655EC"/>
    <w:rsid w:val="00DB55FA"/>
    <w:rsid w:val="00DE100C"/>
    <w:rsid w:val="00E05809"/>
    <w:rsid w:val="00E237A2"/>
    <w:rsid w:val="00EB1AAF"/>
    <w:rsid w:val="00FB6024"/>
    <w:rsid w:val="00F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B6"/>
    <w:rPr>
      <w:rFonts w:eastAsia="MS Mincho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podeletrapredefinidodopargrafo">
    <w:name w:val="Tipo de letra predefinido do parágrafo"/>
    <w:rsid w:val="001D78B6"/>
  </w:style>
  <w:style w:type="character" w:customStyle="1" w:styleId="CorpodetextoCarcter">
    <w:name w:val="Corpo de texto Carácter"/>
    <w:rsid w:val="001D78B6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arcter">
    <w:name w:val="Texto de balão Carácter"/>
    <w:rsid w:val="001D78B6"/>
    <w:rPr>
      <w:rFonts w:ascii="Tahoma" w:eastAsia="MS Mincho" w:hAnsi="Tahoma" w:cs="Tahoma"/>
      <w:sz w:val="16"/>
      <w:szCs w:val="16"/>
    </w:rPr>
  </w:style>
  <w:style w:type="character" w:styleId="PageNumber">
    <w:name w:val="page number"/>
    <w:basedOn w:val="Tipodeletrapredefinidodopargrafo"/>
    <w:rsid w:val="001D78B6"/>
  </w:style>
  <w:style w:type="paragraph" w:customStyle="1" w:styleId="Heading">
    <w:name w:val="Heading"/>
    <w:basedOn w:val="Normal"/>
    <w:next w:val="BodyText"/>
    <w:rsid w:val="001D78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1D78B6"/>
    <w:pPr>
      <w:jc w:val="both"/>
    </w:pPr>
    <w:rPr>
      <w:rFonts w:eastAsia="Times New Roman"/>
      <w:szCs w:val="20"/>
    </w:rPr>
  </w:style>
  <w:style w:type="paragraph" w:styleId="List">
    <w:name w:val="List"/>
    <w:basedOn w:val="BodyText"/>
    <w:rsid w:val="001D78B6"/>
    <w:rPr>
      <w:rFonts w:cs="Tahoma"/>
    </w:rPr>
  </w:style>
  <w:style w:type="paragraph" w:styleId="Caption">
    <w:name w:val="caption"/>
    <w:basedOn w:val="Normal"/>
    <w:qFormat/>
    <w:rsid w:val="001D78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78B6"/>
    <w:pPr>
      <w:suppressLineNumbers/>
    </w:pPr>
    <w:rPr>
      <w:rFonts w:cs="Tahoma"/>
    </w:rPr>
  </w:style>
  <w:style w:type="paragraph" w:customStyle="1" w:styleId="Textodebalo">
    <w:name w:val="Texto de balão"/>
    <w:basedOn w:val="Normal"/>
    <w:rsid w:val="001D7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78B6"/>
    <w:pPr>
      <w:spacing w:before="280" w:after="280"/>
    </w:pPr>
  </w:style>
  <w:style w:type="paragraph" w:styleId="Footer">
    <w:name w:val="footer"/>
    <w:basedOn w:val="Normal"/>
    <w:rsid w:val="001D78B6"/>
    <w:pPr>
      <w:suppressLineNumbers/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BodyText"/>
    <w:rsid w:val="001D78B6"/>
  </w:style>
  <w:style w:type="paragraph" w:styleId="Header">
    <w:name w:val="header"/>
    <w:basedOn w:val="Normal"/>
    <w:rsid w:val="001D78B6"/>
    <w:pPr>
      <w:suppressLineNumbers/>
      <w:tabs>
        <w:tab w:val="center" w:pos="4818"/>
        <w:tab w:val="right" w:pos="9637"/>
      </w:tabs>
      <w:jc w:val="center"/>
    </w:pPr>
    <w:rPr>
      <w:sz w:val="20"/>
      <w:szCs w:val="20"/>
    </w:rPr>
  </w:style>
  <w:style w:type="paragraph" w:customStyle="1" w:styleId="TableContents">
    <w:name w:val="Table Contents"/>
    <w:basedOn w:val="Normal"/>
    <w:rsid w:val="001D78B6"/>
    <w:pPr>
      <w:suppressLineNumbers/>
    </w:pPr>
  </w:style>
  <w:style w:type="paragraph" w:customStyle="1" w:styleId="TableHeading">
    <w:name w:val="Table Heading"/>
    <w:basedOn w:val="TableContents"/>
    <w:rsid w:val="001D78B6"/>
    <w:pPr>
      <w:jc w:val="center"/>
    </w:pPr>
    <w:rPr>
      <w:b/>
      <w:bCs/>
    </w:rPr>
  </w:style>
  <w:style w:type="paragraph" w:customStyle="1" w:styleId="Default">
    <w:name w:val="Default"/>
    <w:rsid w:val="00E058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5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5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54C"/>
    <w:rPr>
      <w:rFonts w:eastAsia="MS Mincho" w:cs="Calibri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31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18"/>
    <w:rPr>
      <w:rFonts w:ascii="Tahoma" w:eastAsia="MS Mincho" w:hAnsi="Tahoma" w:cs="Tahoma"/>
      <w:sz w:val="16"/>
      <w:szCs w:val="16"/>
      <w:lang w:eastAsia="ar-SA"/>
    </w:rPr>
  </w:style>
  <w:style w:type="character" w:customStyle="1" w:styleId="gradeitem">
    <w:name w:val="gradeitem"/>
    <w:basedOn w:val="DefaultParagraphFont"/>
    <w:rsid w:val="004A2FB5"/>
  </w:style>
  <w:style w:type="character" w:customStyle="1" w:styleId="categoryitem2">
    <w:name w:val="categoryitem2"/>
    <w:basedOn w:val="DefaultParagraphFont"/>
    <w:rsid w:val="004A2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assignment/grade.php?id=20735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odle.univ-ab.pt/moodle/mod/assignment/grade.php?id=2073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.ibict.br/ciinf/index.php/ciinf/article/view/971/719" TargetMode="External"/><Relationship Id="rId14" Type="http://schemas.openxmlformats.org/officeDocument/2006/relationships/hyperlink" Target="http://www.moodle.univ-ab.pt/moodle/mod/assignment/grade.php?id=2073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9606D8-3998-499D-AF63-4FA0A0E4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anca</cp:lastModifiedBy>
  <cp:revision>2</cp:revision>
  <cp:lastPrinted>1601-01-01T00:00:00Z</cp:lastPrinted>
  <dcterms:created xsi:type="dcterms:W3CDTF">2012-05-30T23:59:00Z</dcterms:created>
  <dcterms:modified xsi:type="dcterms:W3CDTF">2012-05-30T23:59:00Z</dcterms:modified>
</cp:coreProperties>
</file>