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53" w:rsidRPr="00F70773" w:rsidRDefault="002D3FA0" w:rsidP="00A442D0">
      <w:pPr>
        <w:rPr>
          <w:rFonts w:ascii="Arial" w:hAnsi="Arial" w:cs="Arial"/>
        </w:rPr>
      </w:pPr>
      <w:r w:rsidRPr="00F70773">
        <w:rPr>
          <w:rFonts w:ascii="Arial" w:hAnsi="Arial" w:cs="Arial"/>
          <w:noProof/>
        </w:rPr>
        <w:drawing>
          <wp:inline distT="0" distB="0" distL="0" distR="0">
            <wp:extent cx="5759450" cy="828156"/>
            <wp:effectExtent l="19050" t="0" r="0" b="0"/>
            <wp:docPr id="1" name="Picture 1" descr="e-folio B [NOV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folio B [NOVO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81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A0" w:rsidRPr="00F70773" w:rsidRDefault="002D3FA0" w:rsidP="002D3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0773">
        <w:rPr>
          <w:rFonts w:ascii="Arial" w:hAnsi="Arial" w:cs="Arial"/>
          <w:sz w:val="24"/>
          <w:szCs w:val="24"/>
        </w:rPr>
        <w:t xml:space="preserve">UC: </w:t>
      </w:r>
      <w:r w:rsidRPr="00F70773">
        <w:rPr>
          <w:rFonts w:ascii="Arial" w:hAnsi="Arial" w:cs="Arial"/>
          <w:b/>
          <w:bCs/>
          <w:i/>
          <w:iCs/>
          <w:sz w:val="24"/>
          <w:szCs w:val="24"/>
        </w:rPr>
        <w:t xml:space="preserve">Organização e Funcionalidade do Espaço </w:t>
      </w:r>
      <w:r w:rsidRPr="00F70773">
        <w:rPr>
          <w:rFonts w:ascii="Arial" w:hAnsi="Arial" w:cs="Arial"/>
          <w:sz w:val="24"/>
          <w:szCs w:val="24"/>
        </w:rPr>
        <w:t xml:space="preserve">– </w:t>
      </w:r>
      <w:r w:rsidRPr="00F70773">
        <w:rPr>
          <w:rFonts w:ascii="Arial" w:hAnsi="Arial" w:cs="Arial"/>
          <w:b/>
          <w:bCs/>
          <w:sz w:val="24"/>
          <w:szCs w:val="24"/>
        </w:rPr>
        <w:t>51056</w:t>
      </w:r>
    </w:p>
    <w:p w:rsidR="002D3FA0" w:rsidRPr="00BC6AE2" w:rsidRDefault="002D3FA0" w:rsidP="002D3FA0">
      <w:pPr>
        <w:pBdr>
          <w:bottom w:val="single" w:sz="4" w:space="1" w:color="auto"/>
        </w:pBdr>
        <w:spacing w:before="240" w:after="240" w:line="360" w:lineRule="auto"/>
        <w:rPr>
          <w:rFonts w:ascii="Arial" w:hAnsi="Arial" w:cs="Arial"/>
          <w:b/>
        </w:rPr>
      </w:pPr>
      <w:r w:rsidRPr="00BC6AE2">
        <w:rPr>
          <w:rFonts w:ascii="Arial" w:hAnsi="Arial" w:cs="Arial"/>
          <w:b/>
          <w:sz w:val="24"/>
          <w:szCs w:val="24"/>
        </w:rPr>
        <w:t>António José Estêvão Cabrita,</w:t>
      </w:r>
      <w:r w:rsidRPr="00BC6AE2">
        <w:rPr>
          <w:rFonts w:ascii="Arial" w:hAnsi="Arial" w:cs="Arial"/>
          <w:b/>
          <w:sz w:val="24"/>
          <w:szCs w:val="24"/>
        </w:rPr>
        <w:tab/>
      </w:r>
      <w:r w:rsidRPr="00BC6AE2">
        <w:rPr>
          <w:rFonts w:ascii="Arial" w:hAnsi="Arial" w:cs="Arial"/>
          <w:b/>
          <w:sz w:val="24"/>
          <w:szCs w:val="24"/>
        </w:rPr>
        <w:tab/>
        <w:t>Nº 1002404</w:t>
      </w:r>
      <w:r w:rsidRPr="00BC6AE2">
        <w:rPr>
          <w:rFonts w:ascii="Arial" w:hAnsi="Arial" w:cs="Arial"/>
          <w:b/>
          <w:sz w:val="24"/>
          <w:szCs w:val="24"/>
        </w:rPr>
        <w:tab/>
      </w:r>
      <w:r w:rsidRPr="00BC6AE2">
        <w:rPr>
          <w:rFonts w:ascii="Arial" w:hAnsi="Arial" w:cs="Arial"/>
          <w:b/>
          <w:sz w:val="24"/>
          <w:szCs w:val="24"/>
        </w:rPr>
        <w:tab/>
        <w:t>Ano Lectivo: 2011/2012</w:t>
      </w:r>
    </w:p>
    <w:p w:rsidR="006F4690" w:rsidRDefault="00643372" w:rsidP="008249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estrutura organizacional de uma biblioteca, independentemente do tipo, visa uma série de elementos que promovem a funcionalidade e operacionalidade dos espaços e serviços que a constituem</w:t>
      </w:r>
      <w:r w:rsidR="008B3EB8">
        <w:rPr>
          <w:rFonts w:ascii="Arial" w:hAnsi="Arial" w:cs="Arial"/>
          <w:sz w:val="24"/>
          <w:szCs w:val="24"/>
        </w:rPr>
        <w:t>, por forma a facilitar o seu uso e manter os custos de manute</w:t>
      </w:r>
      <w:r w:rsidR="00160087">
        <w:rPr>
          <w:rFonts w:ascii="Arial" w:hAnsi="Arial" w:cs="Arial"/>
          <w:sz w:val="24"/>
          <w:szCs w:val="24"/>
        </w:rPr>
        <w:t>nção tão baixos quanto possível promovendo maiores níveis de qualidade.</w:t>
      </w:r>
      <w:r w:rsidR="00A056D7">
        <w:rPr>
          <w:rFonts w:ascii="Arial" w:hAnsi="Arial" w:cs="Arial"/>
          <w:sz w:val="24"/>
          <w:szCs w:val="24"/>
        </w:rPr>
        <w:t xml:space="preserve"> </w:t>
      </w:r>
      <w:r w:rsidR="00160087">
        <w:rPr>
          <w:rFonts w:ascii="Arial" w:hAnsi="Arial" w:cs="Arial"/>
          <w:sz w:val="24"/>
          <w:szCs w:val="24"/>
        </w:rPr>
        <w:t>Os espaços das bibliotecas devem ser caracterizados tendo em conta várias características</w:t>
      </w:r>
      <w:r w:rsidR="008B3BAE">
        <w:rPr>
          <w:rFonts w:ascii="Arial" w:hAnsi="Arial" w:cs="Arial"/>
          <w:sz w:val="24"/>
          <w:szCs w:val="24"/>
        </w:rPr>
        <w:t xml:space="preserve"> por forma a</w:t>
      </w:r>
      <w:r w:rsidR="00160087">
        <w:rPr>
          <w:rFonts w:ascii="Arial" w:hAnsi="Arial" w:cs="Arial"/>
          <w:sz w:val="24"/>
          <w:szCs w:val="24"/>
        </w:rPr>
        <w:t xml:space="preserve"> se satisf</w:t>
      </w:r>
      <w:r w:rsidR="008B2C39">
        <w:rPr>
          <w:rFonts w:ascii="Arial" w:hAnsi="Arial" w:cs="Arial"/>
          <w:sz w:val="24"/>
          <w:szCs w:val="24"/>
        </w:rPr>
        <w:t>azerem</w:t>
      </w:r>
      <w:r w:rsidR="00160087">
        <w:rPr>
          <w:rFonts w:ascii="Arial" w:hAnsi="Arial" w:cs="Arial"/>
          <w:sz w:val="24"/>
          <w:szCs w:val="24"/>
        </w:rPr>
        <w:t xml:space="preserve"> as necessidades </w:t>
      </w:r>
      <w:r w:rsidR="00E71357">
        <w:rPr>
          <w:rFonts w:ascii="Arial" w:hAnsi="Arial" w:cs="Arial"/>
          <w:sz w:val="24"/>
          <w:szCs w:val="24"/>
        </w:rPr>
        <w:t>informacionais</w:t>
      </w:r>
      <w:r w:rsidR="008B2C39">
        <w:rPr>
          <w:rFonts w:ascii="Arial" w:hAnsi="Arial" w:cs="Arial"/>
          <w:sz w:val="24"/>
          <w:szCs w:val="24"/>
        </w:rPr>
        <w:t>,</w:t>
      </w:r>
      <w:r w:rsidR="00E71357">
        <w:rPr>
          <w:rFonts w:ascii="Arial" w:hAnsi="Arial" w:cs="Arial"/>
          <w:sz w:val="24"/>
          <w:szCs w:val="24"/>
        </w:rPr>
        <w:t xml:space="preserve"> culturais </w:t>
      </w:r>
      <w:r w:rsidR="008B2C39">
        <w:rPr>
          <w:rFonts w:ascii="Arial" w:hAnsi="Arial" w:cs="Arial"/>
          <w:sz w:val="24"/>
          <w:szCs w:val="24"/>
        </w:rPr>
        <w:t xml:space="preserve">e de lazer </w:t>
      </w:r>
      <w:r w:rsidR="00160087">
        <w:rPr>
          <w:rFonts w:ascii="Arial" w:hAnsi="Arial" w:cs="Arial"/>
          <w:sz w:val="24"/>
          <w:szCs w:val="24"/>
        </w:rPr>
        <w:t>dos utilizadores e</w:t>
      </w:r>
      <w:r w:rsidR="00313624">
        <w:rPr>
          <w:rFonts w:ascii="Arial" w:hAnsi="Arial" w:cs="Arial"/>
          <w:sz w:val="24"/>
          <w:szCs w:val="24"/>
        </w:rPr>
        <w:t>,</w:t>
      </w:r>
      <w:r w:rsidR="00A056D7">
        <w:rPr>
          <w:rFonts w:ascii="Arial" w:hAnsi="Arial" w:cs="Arial"/>
          <w:sz w:val="24"/>
          <w:szCs w:val="24"/>
        </w:rPr>
        <w:t xml:space="preserve"> também</w:t>
      </w:r>
      <w:r w:rsidR="00313624">
        <w:rPr>
          <w:rFonts w:ascii="Arial" w:hAnsi="Arial" w:cs="Arial"/>
          <w:sz w:val="24"/>
          <w:szCs w:val="24"/>
        </w:rPr>
        <w:t>,</w:t>
      </w:r>
      <w:r w:rsidR="00A056D7">
        <w:rPr>
          <w:rFonts w:ascii="Arial" w:hAnsi="Arial" w:cs="Arial"/>
          <w:sz w:val="24"/>
          <w:szCs w:val="24"/>
        </w:rPr>
        <w:t xml:space="preserve"> para incentivar estes </w:t>
      </w:r>
      <w:r w:rsidR="00313624">
        <w:rPr>
          <w:rFonts w:ascii="Arial" w:hAnsi="Arial" w:cs="Arial"/>
          <w:sz w:val="24"/>
          <w:szCs w:val="24"/>
        </w:rPr>
        <w:t>ainda mais</w:t>
      </w:r>
      <w:r w:rsidR="00A056D7">
        <w:rPr>
          <w:rFonts w:ascii="Arial" w:hAnsi="Arial" w:cs="Arial"/>
          <w:sz w:val="24"/>
          <w:szCs w:val="24"/>
        </w:rPr>
        <w:t>.</w:t>
      </w:r>
      <w:r w:rsidR="008B2C39">
        <w:rPr>
          <w:rFonts w:ascii="Arial" w:hAnsi="Arial" w:cs="Arial"/>
          <w:sz w:val="24"/>
          <w:szCs w:val="24"/>
        </w:rPr>
        <w:t xml:space="preserve"> </w:t>
      </w:r>
    </w:p>
    <w:p w:rsidR="00E71357" w:rsidRPr="00E71357" w:rsidRDefault="00E71357" w:rsidP="008249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considerados nove os atributos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que devem caracterizar as bibliotecas:</w:t>
      </w:r>
      <w:r w:rsidR="00110782">
        <w:rPr>
          <w:rFonts w:ascii="Arial" w:hAnsi="Arial" w:cs="Arial"/>
          <w:sz w:val="24"/>
          <w:szCs w:val="24"/>
        </w:rPr>
        <w:t xml:space="preserve"> </w:t>
      </w:r>
      <w:r w:rsidR="008B3BAE">
        <w:rPr>
          <w:rFonts w:ascii="Arial" w:hAnsi="Arial" w:cs="Arial"/>
          <w:sz w:val="24"/>
          <w:szCs w:val="24"/>
        </w:rPr>
        <w:t>A</w:t>
      </w:r>
      <w:r w:rsidR="008B3BAE" w:rsidRPr="00110782">
        <w:rPr>
          <w:rFonts w:ascii="Arial" w:hAnsi="Arial" w:cs="Arial"/>
          <w:sz w:val="24"/>
          <w:szCs w:val="24"/>
        </w:rPr>
        <w:t>daptá</w:t>
      </w:r>
      <w:r w:rsidR="008B3BAE">
        <w:rPr>
          <w:rFonts w:ascii="Arial" w:hAnsi="Arial" w:cs="Arial"/>
          <w:sz w:val="24"/>
          <w:szCs w:val="24"/>
        </w:rPr>
        <w:t>vel</w:t>
      </w:r>
      <w:r w:rsidRPr="00110782">
        <w:rPr>
          <w:rFonts w:ascii="Arial" w:hAnsi="Arial" w:cs="Arial"/>
          <w:sz w:val="24"/>
          <w:szCs w:val="24"/>
        </w:rPr>
        <w:t xml:space="preserve"> </w:t>
      </w:r>
      <w:r w:rsidR="00822C5C" w:rsidRPr="00110782">
        <w:rPr>
          <w:rFonts w:ascii="Arial" w:hAnsi="Arial" w:cs="Arial"/>
          <w:sz w:val="24"/>
          <w:szCs w:val="24"/>
        </w:rPr>
        <w:t>para promover e ajustar dinâmicas</w:t>
      </w:r>
      <w:r w:rsidR="004E45AC" w:rsidRPr="00110782">
        <w:rPr>
          <w:rFonts w:ascii="Arial" w:hAnsi="Arial" w:cs="Arial"/>
          <w:sz w:val="24"/>
          <w:szCs w:val="24"/>
        </w:rPr>
        <w:t>,</w:t>
      </w:r>
      <w:r w:rsidR="00822C5C" w:rsidRPr="00110782">
        <w:rPr>
          <w:rFonts w:ascii="Arial" w:hAnsi="Arial" w:cs="Arial"/>
          <w:sz w:val="24"/>
          <w:szCs w:val="24"/>
        </w:rPr>
        <w:t xml:space="preserve"> no seu uso; </w:t>
      </w:r>
      <w:r w:rsidR="008B3BAE">
        <w:rPr>
          <w:rFonts w:ascii="Arial" w:hAnsi="Arial" w:cs="Arial"/>
          <w:sz w:val="24"/>
          <w:szCs w:val="24"/>
        </w:rPr>
        <w:t>a</w:t>
      </w:r>
      <w:r w:rsidR="008B3BAE" w:rsidRPr="00110782">
        <w:rPr>
          <w:rFonts w:ascii="Arial" w:hAnsi="Arial" w:cs="Arial"/>
          <w:sz w:val="24"/>
          <w:szCs w:val="24"/>
        </w:rPr>
        <w:t>cessí</w:t>
      </w:r>
      <w:r w:rsidR="008B3BAE">
        <w:rPr>
          <w:rFonts w:ascii="Arial" w:hAnsi="Arial" w:cs="Arial"/>
          <w:sz w:val="24"/>
          <w:szCs w:val="24"/>
        </w:rPr>
        <w:t>vel</w:t>
      </w:r>
      <w:r w:rsidR="004E45AC" w:rsidRPr="00110782">
        <w:rPr>
          <w:rFonts w:ascii="Arial" w:hAnsi="Arial" w:cs="Arial"/>
          <w:sz w:val="24"/>
          <w:szCs w:val="24"/>
        </w:rPr>
        <w:t xml:space="preserve"> para a facilidade e autonomia dos utilizadores na utilização; Multiplicidade de meios e suportes para vários ambientes;</w:t>
      </w:r>
      <w:r w:rsidR="008B2C39">
        <w:rPr>
          <w:rFonts w:ascii="Arial" w:hAnsi="Arial" w:cs="Arial"/>
          <w:sz w:val="24"/>
          <w:szCs w:val="24"/>
        </w:rPr>
        <w:t xml:space="preserve"> i</w:t>
      </w:r>
      <w:r w:rsidR="004E45AC" w:rsidRPr="00110782">
        <w:rPr>
          <w:rFonts w:ascii="Arial" w:hAnsi="Arial" w:cs="Arial"/>
          <w:sz w:val="24"/>
          <w:szCs w:val="24"/>
        </w:rPr>
        <w:t>nteractiv</w:t>
      </w:r>
      <w:r w:rsidR="008B3BAE">
        <w:rPr>
          <w:rFonts w:ascii="Arial" w:hAnsi="Arial" w:cs="Arial"/>
          <w:sz w:val="24"/>
          <w:szCs w:val="24"/>
        </w:rPr>
        <w:t>a</w:t>
      </w:r>
      <w:r w:rsidR="004E45AC" w:rsidRPr="00110782">
        <w:rPr>
          <w:rFonts w:ascii="Arial" w:hAnsi="Arial" w:cs="Arial"/>
          <w:sz w:val="24"/>
          <w:szCs w:val="24"/>
        </w:rPr>
        <w:t xml:space="preserve"> entre utilizadores e serviços; </w:t>
      </w:r>
      <w:r w:rsidR="008B3BAE">
        <w:rPr>
          <w:rFonts w:ascii="Arial" w:hAnsi="Arial" w:cs="Arial"/>
          <w:sz w:val="24"/>
          <w:szCs w:val="24"/>
        </w:rPr>
        <w:t>c</w:t>
      </w:r>
      <w:r w:rsidR="004E45AC" w:rsidRPr="00110782">
        <w:rPr>
          <w:rFonts w:ascii="Arial" w:hAnsi="Arial" w:cs="Arial"/>
          <w:sz w:val="24"/>
          <w:szCs w:val="24"/>
        </w:rPr>
        <w:t xml:space="preserve">ondutividade dos espaços para orientação e inspiração dos utilizadores; </w:t>
      </w:r>
      <w:r w:rsidR="008B3BAE">
        <w:rPr>
          <w:rFonts w:ascii="Arial" w:hAnsi="Arial" w:cs="Arial"/>
          <w:sz w:val="24"/>
          <w:szCs w:val="24"/>
        </w:rPr>
        <w:t>a</w:t>
      </w:r>
      <w:r w:rsidR="004E45AC" w:rsidRPr="00110782">
        <w:rPr>
          <w:rFonts w:ascii="Arial" w:hAnsi="Arial" w:cs="Arial"/>
          <w:sz w:val="24"/>
          <w:szCs w:val="24"/>
        </w:rPr>
        <w:t>dequação ambiental para utilizadores, livros</w:t>
      </w:r>
      <w:r w:rsidR="008B2C39">
        <w:rPr>
          <w:rFonts w:ascii="Arial" w:hAnsi="Arial" w:cs="Arial"/>
          <w:sz w:val="24"/>
          <w:szCs w:val="24"/>
        </w:rPr>
        <w:t>,</w:t>
      </w:r>
      <w:r w:rsidR="004E45AC" w:rsidRPr="00110782">
        <w:rPr>
          <w:rFonts w:ascii="Arial" w:hAnsi="Arial" w:cs="Arial"/>
          <w:sz w:val="24"/>
          <w:szCs w:val="24"/>
        </w:rPr>
        <w:t xml:space="preserve"> recursos técnicos e tecnológicos de consu</w:t>
      </w:r>
      <w:r w:rsidR="008B2C39">
        <w:rPr>
          <w:rFonts w:ascii="Arial" w:hAnsi="Arial" w:cs="Arial"/>
          <w:sz w:val="24"/>
          <w:szCs w:val="24"/>
        </w:rPr>
        <w:t>lta; s</w:t>
      </w:r>
      <w:r w:rsidR="004E45AC" w:rsidRPr="00110782">
        <w:rPr>
          <w:rFonts w:ascii="Arial" w:hAnsi="Arial" w:cs="Arial"/>
          <w:sz w:val="24"/>
          <w:szCs w:val="24"/>
        </w:rPr>
        <w:t>egurança</w:t>
      </w:r>
      <w:r w:rsidR="00F86410" w:rsidRPr="00110782">
        <w:rPr>
          <w:rFonts w:ascii="Arial" w:hAnsi="Arial" w:cs="Arial"/>
          <w:sz w:val="24"/>
          <w:szCs w:val="24"/>
        </w:rPr>
        <w:t xml:space="preserve"> de pessoas, dos fundos, </w:t>
      </w:r>
      <w:r w:rsidR="008B2C39">
        <w:rPr>
          <w:rFonts w:ascii="Arial" w:hAnsi="Arial" w:cs="Arial"/>
          <w:sz w:val="24"/>
          <w:szCs w:val="24"/>
        </w:rPr>
        <w:t xml:space="preserve">dos </w:t>
      </w:r>
      <w:r w:rsidR="00F86410" w:rsidRPr="00110782">
        <w:rPr>
          <w:rFonts w:ascii="Arial" w:hAnsi="Arial" w:cs="Arial"/>
          <w:sz w:val="24"/>
          <w:szCs w:val="24"/>
        </w:rPr>
        <w:t xml:space="preserve">equipamentos e edifício; </w:t>
      </w:r>
      <w:r w:rsidR="008B2C39">
        <w:rPr>
          <w:rFonts w:ascii="Arial" w:hAnsi="Arial" w:cs="Arial"/>
          <w:sz w:val="24"/>
          <w:szCs w:val="24"/>
        </w:rPr>
        <w:t>e</w:t>
      </w:r>
      <w:r w:rsidR="00F86410" w:rsidRPr="00110782">
        <w:rPr>
          <w:rFonts w:ascii="Arial" w:hAnsi="Arial" w:cs="Arial"/>
          <w:sz w:val="24"/>
          <w:szCs w:val="24"/>
        </w:rPr>
        <w:t>ficiência nas economias de espaço, pessoal, custos e manutenção;</w:t>
      </w:r>
      <w:r w:rsidR="008B2C39">
        <w:rPr>
          <w:rFonts w:ascii="Arial" w:hAnsi="Arial" w:cs="Arial"/>
          <w:sz w:val="24"/>
          <w:szCs w:val="24"/>
        </w:rPr>
        <w:t xml:space="preserve"> a</w:t>
      </w:r>
      <w:r w:rsidR="00F86410" w:rsidRPr="00110782">
        <w:rPr>
          <w:rFonts w:ascii="Arial" w:hAnsi="Arial" w:cs="Arial"/>
          <w:sz w:val="24"/>
          <w:szCs w:val="24"/>
        </w:rPr>
        <w:t>dequação tecnológica da informação e comunicação</w:t>
      </w:r>
      <w:r w:rsidR="00F86410">
        <w:rPr>
          <w:rFonts w:ascii="Arial" w:hAnsi="Arial" w:cs="Arial"/>
          <w:sz w:val="24"/>
          <w:szCs w:val="24"/>
        </w:rPr>
        <w:t xml:space="preserve"> flexível na disposição para quem as utilize ou venha a utilizar.</w:t>
      </w:r>
      <w:r w:rsidR="008B2C39">
        <w:rPr>
          <w:rFonts w:ascii="Arial" w:hAnsi="Arial" w:cs="Arial"/>
          <w:sz w:val="24"/>
          <w:szCs w:val="24"/>
        </w:rPr>
        <w:t xml:space="preserve"> </w:t>
      </w:r>
    </w:p>
    <w:p w:rsidR="008B3EB8" w:rsidRDefault="008249F8" w:rsidP="008249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espaços das bibliotecas, independentemente do seu tipo primam por objectivos</w:t>
      </w:r>
      <w:r w:rsidR="00963FA0"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comuns, os quais tendo em conta as características enunciadas</w:t>
      </w:r>
      <w:r w:rsidR="00963FA0">
        <w:rPr>
          <w:rFonts w:ascii="Arial" w:hAnsi="Arial" w:cs="Arial"/>
          <w:sz w:val="24"/>
          <w:szCs w:val="24"/>
        </w:rPr>
        <w:t xml:space="preserve"> apresentam, todavia, </w:t>
      </w:r>
      <w:r w:rsidR="00963FA0" w:rsidRPr="00963FA0">
        <w:rPr>
          <w:rFonts w:ascii="Arial" w:hAnsi="Arial" w:cs="Arial"/>
          <w:sz w:val="24"/>
          <w:szCs w:val="24"/>
        </w:rPr>
        <w:t xml:space="preserve">especificidades que irão </w:t>
      </w:r>
      <w:r w:rsidR="00963FA0">
        <w:rPr>
          <w:rFonts w:ascii="Arial" w:hAnsi="Arial" w:cs="Arial"/>
          <w:sz w:val="24"/>
          <w:szCs w:val="24"/>
        </w:rPr>
        <w:t>definir</w:t>
      </w:r>
      <w:r w:rsidR="00963FA0" w:rsidRPr="00963FA0">
        <w:rPr>
          <w:rFonts w:ascii="Arial" w:hAnsi="Arial" w:cs="Arial"/>
          <w:sz w:val="24"/>
          <w:szCs w:val="24"/>
        </w:rPr>
        <w:t xml:space="preserve"> a</w:t>
      </w:r>
      <w:r w:rsidR="00963FA0">
        <w:rPr>
          <w:rFonts w:ascii="Arial" w:hAnsi="Arial" w:cs="Arial"/>
          <w:sz w:val="24"/>
          <w:szCs w:val="24"/>
        </w:rPr>
        <w:t>s</w:t>
      </w:r>
      <w:r w:rsidR="00963FA0" w:rsidRPr="00963FA0">
        <w:rPr>
          <w:rFonts w:ascii="Arial" w:hAnsi="Arial" w:cs="Arial"/>
          <w:sz w:val="24"/>
          <w:szCs w:val="24"/>
        </w:rPr>
        <w:t xml:space="preserve"> sua</w:t>
      </w:r>
      <w:r w:rsidR="00963FA0">
        <w:rPr>
          <w:rFonts w:ascii="Arial" w:hAnsi="Arial" w:cs="Arial"/>
          <w:sz w:val="24"/>
          <w:szCs w:val="24"/>
        </w:rPr>
        <w:t>s</w:t>
      </w:r>
      <w:r w:rsidR="00963FA0" w:rsidRPr="00963FA0">
        <w:rPr>
          <w:rFonts w:ascii="Arial" w:hAnsi="Arial" w:cs="Arial"/>
          <w:sz w:val="24"/>
          <w:szCs w:val="24"/>
        </w:rPr>
        <w:t xml:space="preserve"> funcional</w:t>
      </w:r>
      <w:r w:rsidR="00963FA0">
        <w:rPr>
          <w:rFonts w:ascii="Arial" w:hAnsi="Arial" w:cs="Arial"/>
          <w:sz w:val="24"/>
          <w:szCs w:val="24"/>
        </w:rPr>
        <w:t>idades</w:t>
      </w:r>
      <w:r w:rsidR="00963FA0" w:rsidRPr="00963FA0">
        <w:rPr>
          <w:rFonts w:ascii="Arial" w:hAnsi="Arial" w:cs="Arial"/>
          <w:sz w:val="24"/>
          <w:szCs w:val="24"/>
        </w:rPr>
        <w:t xml:space="preserve"> interna</w:t>
      </w:r>
      <w:r w:rsidR="00963FA0">
        <w:rPr>
          <w:rFonts w:ascii="Arial" w:hAnsi="Arial" w:cs="Arial"/>
          <w:sz w:val="24"/>
          <w:szCs w:val="24"/>
        </w:rPr>
        <w:t>s</w:t>
      </w:r>
      <w:r w:rsidR="00963FA0" w:rsidRPr="00963FA0">
        <w:rPr>
          <w:rFonts w:ascii="Arial" w:hAnsi="Arial" w:cs="Arial"/>
          <w:sz w:val="24"/>
          <w:szCs w:val="24"/>
        </w:rPr>
        <w:t xml:space="preserve">, </w:t>
      </w:r>
      <w:r w:rsidR="006F2B09">
        <w:rPr>
          <w:rFonts w:ascii="Arial" w:hAnsi="Arial" w:cs="Arial"/>
          <w:sz w:val="24"/>
          <w:szCs w:val="24"/>
        </w:rPr>
        <w:t>por</w:t>
      </w:r>
      <w:r w:rsidR="00963FA0" w:rsidRPr="00963FA0">
        <w:rPr>
          <w:rFonts w:ascii="Arial" w:hAnsi="Arial" w:cs="Arial"/>
          <w:sz w:val="24"/>
          <w:szCs w:val="24"/>
        </w:rPr>
        <w:t xml:space="preserve"> forma a </w:t>
      </w:r>
      <w:r w:rsidR="00963FA0">
        <w:rPr>
          <w:rFonts w:ascii="Arial" w:hAnsi="Arial" w:cs="Arial"/>
          <w:sz w:val="24"/>
          <w:szCs w:val="24"/>
        </w:rPr>
        <w:t>atingir os seus objectivos.</w:t>
      </w:r>
      <w:r w:rsidR="006F2B09">
        <w:rPr>
          <w:rFonts w:ascii="Arial" w:hAnsi="Arial" w:cs="Arial"/>
          <w:sz w:val="24"/>
          <w:szCs w:val="24"/>
        </w:rPr>
        <w:t xml:space="preserve"> São múltiplos os espaços que</w:t>
      </w:r>
      <w:r w:rsidR="00057009">
        <w:rPr>
          <w:rFonts w:ascii="Arial" w:hAnsi="Arial" w:cs="Arial"/>
          <w:sz w:val="24"/>
          <w:szCs w:val="24"/>
        </w:rPr>
        <w:t>,</w:t>
      </w:r>
      <w:r w:rsidR="006F2B09">
        <w:rPr>
          <w:rFonts w:ascii="Arial" w:hAnsi="Arial" w:cs="Arial"/>
          <w:sz w:val="24"/>
          <w:szCs w:val="24"/>
        </w:rPr>
        <w:t xml:space="preserve"> se apresentam a um visitante, desde os públicos, aos técnicos</w:t>
      </w:r>
      <w:r w:rsidR="00057009">
        <w:rPr>
          <w:rFonts w:ascii="Arial" w:hAnsi="Arial" w:cs="Arial"/>
          <w:sz w:val="24"/>
          <w:szCs w:val="24"/>
        </w:rPr>
        <w:t xml:space="preserve"> e administrativos</w:t>
      </w:r>
      <w:r w:rsidR="006F2B09">
        <w:rPr>
          <w:rFonts w:ascii="Arial" w:hAnsi="Arial" w:cs="Arial"/>
          <w:sz w:val="24"/>
          <w:szCs w:val="24"/>
        </w:rPr>
        <w:t>, de acesso reservado,</w:t>
      </w:r>
      <w:r w:rsidR="00057009">
        <w:rPr>
          <w:rFonts w:ascii="Arial" w:hAnsi="Arial" w:cs="Arial"/>
          <w:sz w:val="24"/>
          <w:szCs w:val="24"/>
        </w:rPr>
        <w:t xml:space="preserve"> que por sua vez se podem subdividir em subespaços em conformidade com as características dos serviços prestados, como as área</w:t>
      </w:r>
      <w:r w:rsidR="006763D9">
        <w:rPr>
          <w:rFonts w:ascii="Arial" w:hAnsi="Arial" w:cs="Arial"/>
          <w:sz w:val="24"/>
          <w:szCs w:val="24"/>
        </w:rPr>
        <w:t>s</w:t>
      </w:r>
      <w:r w:rsidR="00057009">
        <w:rPr>
          <w:rFonts w:ascii="Arial" w:hAnsi="Arial" w:cs="Arial"/>
          <w:sz w:val="24"/>
          <w:szCs w:val="24"/>
        </w:rPr>
        <w:t xml:space="preserve"> de leitura, de circulação, as que acolhem as secções infanto-juvenis, de jogos e </w:t>
      </w:r>
      <w:r w:rsidR="00057009">
        <w:rPr>
          <w:rFonts w:ascii="Arial" w:hAnsi="Arial" w:cs="Arial"/>
          <w:sz w:val="24"/>
          <w:szCs w:val="24"/>
        </w:rPr>
        <w:lastRenderedPageBreak/>
        <w:t>multimédia, entre outros, e, nas reservadas, os serviços técnicos de catalogação, de depósito, de restauro, administrativos, etc., se se trata de uma biblioteca de livre acesso, ou não, entre várias outras</w:t>
      </w:r>
      <w:r w:rsidR="006763D9">
        <w:rPr>
          <w:rFonts w:ascii="Arial" w:hAnsi="Arial" w:cs="Arial"/>
          <w:sz w:val="24"/>
          <w:szCs w:val="24"/>
        </w:rPr>
        <w:t xml:space="preserve"> estruturas e características.</w:t>
      </w:r>
      <w:r w:rsidR="00110782">
        <w:rPr>
          <w:rFonts w:ascii="Arial" w:hAnsi="Arial" w:cs="Arial"/>
          <w:sz w:val="24"/>
          <w:szCs w:val="24"/>
        </w:rPr>
        <w:t xml:space="preserve"> </w:t>
      </w:r>
    </w:p>
    <w:p w:rsidR="00A51314" w:rsidRDefault="00A51314" w:rsidP="008249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763D9">
        <w:rPr>
          <w:rFonts w:ascii="Arial" w:hAnsi="Arial" w:cs="Arial"/>
          <w:sz w:val="24"/>
          <w:szCs w:val="24"/>
        </w:rPr>
        <w:t xml:space="preserve">stas estruturas, ou </w:t>
      </w:r>
      <w:r>
        <w:rPr>
          <w:rFonts w:ascii="Arial" w:hAnsi="Arial" w:cs="Arial"/>
          <w:sz w:val="24"/>
          <w:szCs w:val="24"/>
        </w:rPr>
        <w:t>blocos</w:t>
      </w:r>
      <w:r w:rsidR="006763D9">
        <w:rPr>
          <w:rFonts w:ascii="Arial" w:hAnsi="Arial" w:cs="Arial"/>
          <w:sz w:val="24"/>
          <w:szCs w:val="24"/>
        </w:rPr>
        <w:t xml:space="preserve">, devem </w:t>
      </w:r>
      <w:r w:rsidR="0062512F">
        <w:rPr>
          <w:rFonts w:ascii="Arial" w:hAnsi="Arial" w:cs="Arial"/>
          <w:sz w:val="24"/>
          <w:szCs w:val="24"/>
        </w:rPr>
        <w:t xml:space="preserve">se </w:t>
      </w:r>
      <w:r w:rsidR="006763D9">
        <w:rPr>
          <w:rFonts w:ascii="Arial" w:hAnsi="Arial" w:cs="Arial"/>
          <w:sz w:val="24"/>
          <w:szCs w:val="24"/>
        </w:rPr>
        <w:t xml:space="preserve">articular entre si </w:t>
      </w:r>
      <w:r w:rsidR="00604D9A">
        <w:rPr>
          <w:rFonts w:ascii="Arial" w:hAnsi="Arial" w:cs="Arial"/>
          <w:sz w:val="24"/>
          <w:szCs w:val="24"/>
        </w:rPr>
        <w:t>para que</w:t>
      </w:r>
      <w:r w:rsidR="006763D9">
        <w:rPr>
          <w:rFonts w:ascii="Arial" w:hAnsi="Arial" w:cs="Arial"/>
          <w:sz w:val="24"/>
          <w:szCs w:val="24"/>
        </w:rPr>
        <w:t xml:space="preserve"> as suas funcionalidades </w:t>
      </w:r>
      <w:r w:rsidR="00110782">
        <w:rPr>
          <w:rFonts w:ascii="Arial" w:hAnsi="Arial" w:cs="Arial"/>
          <w:sz w:val="24"/>
          <w:szCs w:val="24"/>
        </w:rPr>
        <w:t>operem como</w:t>
      </w:r>
      <w:r w:rsidR="006763D9">
        <w:rPr>
          <w:rFonts w:ascii="Arial" w:hAnsi="Arial" w:cs="Arial"/>
          <w:sz w:val="24"/>
          <w:szCs w:val="24"/>
        </w:rPr>
        <w:t xml:space="preserve"> </w:t>
      </w:r>
      <w:r w:rsidR="0062512F">
        <w:rPr>
          <w:rFonts w:ascii="Arial" w:hAnsi="Arial" w:cs="Arial"/>
          <w:sz w:val="24"/>
          <w:szCs w:val="24"/>
        </w:rPr>
        <w:t>motor de uma estrutura viva e orgânica, diríamos. Expomos então alguns conceitos a contemplar que, servi</w:t>
      </w:r>
      <w:r w:rsidR="00110782">
        <w:rPr>
          <w:rFonts w:ascii="Arial" w:hAnsi="Arial" w:cs="Arial"/>
          <w:sz w:val="24"/>
          <w:szCs w:val="24"/>
        </w:rPr>
        <w:t>ndo</w:t>
      </w:r>
      <w:r w:rsidR="0062512F">
        <w:rPr>
          <w:rFonts w:ascii="Arial" w:hAnsi="Arial" w:cs="Arial"/>
          <w:sz w:val="24"/>
          <w:szCs w:val="24"/>
        </w:rPr>
        <w:t xml:space="preserve"> de base àquela orgânica, estruturam</w:t>
      </w:r>
      <w:r>
        <w:rPr>
          <w:rFonts w:ascii="Arial" w:hAnsi="Arial" w:cs="Arial"/>
          <w:sz w:val="24"/>
          <w:szCs w:val="24"/>
        </w:rPr>
        <w:t xml:space="preserve"> </w:t>
      </w:r>
      <w:r w:rsidR="00110782">
        <w:rPr>
          <w:rFonts w:ascii="Arial" w:hAnsi="Arial" w:cs="Arial"/>
          <w:sz w:val="24"/>
          <w:szCs w:val="24"/>
        </w:rPr>
        <w:t xml:space="preserve">e tornam mais fluidos </w:t>
      </w:r>
      <w:r w:rsidR="0062512F">
        <w:rPr>
          <w:rFonts w:ascii="Arial" w:hAnsi="Arial" w:cs="Arial"/>
          <w:sz w:val="24"/>
          <w:szCs w:val="24"/>
        </w:rPr>
        <w:t>os vários fluxos</w:t>
      </w:r>
      <w:r w:rsidR="00110782">
        <w:rPr>
          <w:rFonts w:ascii="Arial" w:hAnsi="Arial" w:cs="Arial"/>
          <w:sz w:val="24"/>
          <w:szCs w:val="24"/>
        </w:rPr>
        <w:t xml:space="preserve"> que ali se encontram</w:t>
      </w:r>
      <w:r w:rsidR="0062512F">
        <w:rPr>
          <w:rFonts w:ascii="Arial" w:hAnsi="Arial" w:cs="Arial"/>
          <w:sz w:val="24"/>
          <w:szCs w:val="24"/>
        </w:rPr>
        <w:t>.</w:t>
      </w:r>
    </w:p>
    <w:p w:rsidR="00057009" w:rsidRDefault="0062512F" w:rsidP="008249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temos o circuito do livro e do utilizador</w:t>
      </w:r>
      <w:r w:rsidR="00A51314">
        <w:rPr>
          <w:rFonts w:ascii="Arial" w:hAnsi="Arial" w:cs="Arial"/>
          <w:sz w:val="24"/>
          <w:szCs w:val="24"/>
        </w:rPr>
        <w:t xml:space="preserve"> e com</w:t>
      </w:r>
      <w:r>
        <w:rPr>
          <w:rFonts w:ascii="Arial" w:hAnsi="Arial" w:cs="Arial"/>
          <w:sz w:val="24"/>
          <w:szCs w:val="24"/>
        </w:rPr>
        <w:t xml:space="preserve"> estes dois fluxos</w:t>
      </w:r>
      <w:r w:rsidR="007D25BB">
        <w:rPr>
          <w:rFonts w:ascii="Arial" w:hAnsi="Arial" w:cs="Arial"/>
          <w:sz w:val="24"/>
          <w:szCs w:val="24"/>
        </w:rPr>
        <w:t>, apesar da sua quase simbiose,</w:t>
      </w:r>
      <w:r>
        <w:rPr>
          <w:rFonts w:ascii="Arial" w:hAnsi="Arial" w:cs="Arial"/>
          <w:sz w:val="24"/>
          <w:szCs w:val="24"/>
        </w:rPr>
        <w:t xml:space="preserve"> pretende</w:t>
      </w:r>
      <w:r w:rsidR="00A51314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evitar </w:t>
      </w:r>
      <w:r w:rsidR="00D271D7">
        <w:rPr>
          <w:rFonts w:ascii="Arial" w:hAnsi="Arial" w:cs="Arial"/>
          <w:sz w:val="24"/>
          <w:szCs w:val="24"/>
        </w:rPr>
        <w:t>a sua sobreposição</w:t>
      </w:r>
      <w:r>
        <w:rPr>
          <w:rFonts w:ascii="Arial" w:hAnsi="Arial" w:cs="Arial"/>
          <w:sz w:val="24"/>
          <w:szCs w:val="24"/>
        </w:rPr>
        <w:t>, por forma a evitar conflitos</w:t>
      </w:r>
      <w:r w:rsidR="007D25BB">
        <w:rPr>
          <w:rFonts w:ascii="Arial" w:hAnsi="Arial" w:cs="Arial"/>
          <w:sz w:val="24"/>
          <w:szCs w:val="24"/>
        </w:rPr>
        <w:t xml:space="preserve"> naquelas zonas</w:t>
      </w:r>
      <w:r>
        <w:rPr>
          <w:rFonts w:ascii="Arial" w:hAnsi="Arial" w:cs="Arial"/>
          <w:sz w:val="24"/>
          <w:szCs w:val="24"/>
        </w:rPr>
        <w:t>; a articulação do átrio de entrada com os restantes espaços</w:t>
      </w:r>
      <w:r w:rsidR="007D25BB">
        <w:rPr>
          <w:rFonts w:ascii="Arial" w:hAnsi="Arial" w:cs="Arial"/>
          <w:sz w:val="24"/>
          <w:szCs w:val="24"/>
        </w:rPr>
        <w:t>, onde o visitante, ao entrar, percep</w:t>
      </w:r>
      <w:r w:rsidR="00D271D7">
        <w:rPr>
          <w:rFonts w:ascii="Arial" w:hAnsi="Arial" w:cs="Arial"/>
          <w:sz w:val="24"/>
          <w:szCs w:val="24"/>
        </w:rPr>
        <w:t xml:space="preserve">cione </w:t>
      </w:r>
      <w:r w:rsidR="007D25BB">
        <w:rPr>
          <w:rFonts w:ascii="Arial" w:hAnsi="Arial" w:cs="Arial"/>
          <w:sz w:val="24"/>
          <w:szCs w:val="24"/>
        </w:rPr>
        <w:t>os vários</w:t>
      </w:r>
      <w:r w:rsidR="00110782">
        <w:rPr>
          <w:rFonts w:ascii="Arial" w:hAnsi="Arial" w:cs="Arial"/>
          <w:sz w:val="24"/>
          <w:szCs w:val="24"/>
        </w:rPr>
        <w:t xml:space="preserve"> espaços e da forma como se articulam entre si, servirá </w:t>
      </w:r>
      <w:r w:rsidR="00D271D7">
        <w:rPr>
          <w:rFonts w:ascii="Arial" w:hAnsi="Arial" w:cs="Arial"/>
          <w:sz w:val="24"/>
          <w:szCs w:val="24"/>
        </w:rPr>
        <w:t xml:space="preserve">também </w:t>
      </w:r>
      <w:r w:rsidR="00110782">
        <w:rPr>
          <w:rFonts w:ascii="Arial" w:hAnsi="Arial" w:cs="Arial"/>
          <w:sz w:val="24"/>
          <w:szCs w:val="24"/>
        </w:rPr>
        <w:t>como centro de distribuição através dos vários fluxos;</w:t>
      </w:r>
      <w:r w:rsidR="00E31C89">
        <w:rPr>
          <w:rFonts w:ascii="Arial" w:hAnsi="Arial" w:cs="Arial"/>
          <w:sz w:val="24"/>
          <w:szCs w:val="24"/>
        </w:rPr>
        <w:t xml:space="preserve"> a organização e disposição das zonas de consulta que</w:t>
      </w:r>
      <w:r w:rsidR="00D271D7">
        <w:rPr>
          <w:rFonts w:ascii="Arial" w:hAnsi="Arial" w:cs="Arial"/>
          <w:sz w:val="24"/>
          <w:szCs w:val="24"/>
        </w:rPr>
        <w:t>,</w:t>
      </w:r>
      <w:r w:rsidR="00E31C89">
        <w:rPr>
          <w:rFonts w:ascii="Arial" w:hAnsi="Arial" w:cs="Arial"/>
          <w:sz w:val="24"/>
          <w:szCs w:val="24"/>
        </w:rPr>
        <w:t xml:space="preserve"> varia</w:t>
      </w:r>
      <w:r w:rsidR="00D271D7">
        <w:rPr>
          <w:rFonts w:ascii="Arial" w:hAnsi="Arial" w:cs="Arial"/>
          <w:sz w:val="24"/>
          <w:szCs w:val="24"/>
        </w:rPr>
        <w:t>ndo</w:t>
      </w:r>
      <w:r w:rsidR="00E31C89">
        <w:rPr>
          <w:rFonts w:ascii="Arial" w:hAnsi="Arial" w:cs="Arial"/>
          <w:sz w:val="24"/>
          <w:szCs w:val="24"/>
        </w:rPr>
        <w:t xml:space="preserve"> consoante o tipo de biblioteca</w:t>
      </w:r>
      <w:r w:rsidR="00D271D7">
        <w:rPr>
          <w:rFonts w:ascii="Arial" w:hAnsi="Arial" w:cs="Arial"/>
          <w:sz w:val="24"/>
          <w:szCs w:val="24"/>
        </w:rPr>
        <w:t>,</w:t>
      </w:r>
      <w:r w:rsidR="00E31C89">
        <w:rPr>
          <w:rFonts w:ascii="Arial" w:hAnsi="Arial" w:cs="Arial"/>
          <w:sz w:val="24"/>
          <w:szCs w:val="24"/>
        </w:rPr>
        <w:t xml:space="preserve"> devem obedecer aos critérios de necessidades e comodidade dos utilizadores</w:t>
      </w:r>
      <w:r w:rsidR="00D271D7">
        <w:rPr>
          <w:rFonts w:ascii="Arial" w:hAnsi="Arial" w:cs="Arial"/>
          <w:sz w:val="24"/>
          <w:szCs w:val="24"/>
        </w:rPr>
        <w:t>,</w:t>
      </w:r>
      <w:r w:rsidR="00E31C89">
        <w:rPr>
          <w:rFonts w:ascii="Arial" w:hAnsi="Arial" w:cs="Arial"/>
          <w:sz w:val="24"/>
          <w:szCs w:val="24"/>
        </w:rPr>
        <w:t xml:space="preserve"> enquadrando-se com as áreas adjacentes</w:t>
      </w:r>
      <w:r w:rsidR="00D271D7">
        <w:rPr>
          <w:rFonts w:ascii="Arial" w:hAnsi="Arial" w:cs="Arial"/>
          <w:sz w:val="24"/>
          <w:szCs w:val="24"/>
        </w:rPr>
        <w:t>,</w:t>
      </w:r>
      <w:r w:rsidR="00E31C89">
        <w:rPr>
          <w:rFonts w:ascii="Arial" w:hAnsi="Arial" w:cs="Arial"/>
          <w:sz w:val="24"/>
          <w:szCs w:val="24"/>
        </w:rPr>
        <w:t xml:space="preserve"> nos serviços aí prestados e das várias conexões existentes</w:t>
      </w:r>
      <w:r w:rsidR="005A1D5C">
        <w:rPr>
          <w:rFonts w:ascii="Arial" w:hAnsi="Arial" w:cs="Arial"/>
          <w:sz w:val="24"/>
          <w:szCs w:val="24"/>
        </w:rPr>
        <w:t xml:space="preserve"> e</w:t>
      </w:r>
      <w:r w:rsidR="00D271D7">
        <w:rPr>
          <w:rFonts w:ascii="Arial" w:hAnsi="Arial" w:cs="Arial"/>
          <w:sz w:val="24"/>
          <w:szCs w:val="24"/>
        </w:rPr>
        <w:t>,</w:t>
      </w:r>
      <w:r w:rsidR="005A1D5C">
        <w:rPr>
          <w:rFonts w:ascii="Arial" w:hAnsi="Arial" w:cs="Arial"/>
          <w:sz w:val="24"/>
          <w:szCs w:val="24"/>
        </w:rPr>
        <w:t xml:space="preserve"> finalmente</w:t>
      </w:r>
      <w:r w:rsidR="00D271D7">
        <w:rPr>
          <w:rFonts w:ascii="Arial" w:hAnsi="Arial" w:cs="Arial"/>
          <w:sz w:val="24"/>
          <w:szCs w:val="24"/>
        </w:rPr>
        <w:t>,</w:t>
      </w:r>
      <w:r w:rsidR="005A1D5C">
        <w:rPr>
          <w:rFonts w:ascii="Arial" w:hAnsi="Arial" w:cs="Arial"/>
          <w:sz w:val="24"/>
          <w:szCs w:val="24"/>
        </w:rPr>
        <w:t xml:space="preserve"> a</w:t>
      </w:r>
      <w:r w:rsidR="00E31C89">
        <w:rPr>
          <w:rFonts w:ascii="Arial" w:hAnsi="Arial" w:cs="Arial"/>
          <w:sz w:val="24"/>
          <w:szCs w:val="24"/>
        </w:rPr>
        <w:t>s áreas de serviço interno com fluxos próprios</w:t>
      </w:r>
      <w:r w:rsidR="005A1D5C">
        <w:rPr>
          <w:rFonts w:ascii="Arial" w:hAnsi="Arial" w:cs="Arial"/>
          <w:sz w:val="24"/>
          <w:szCs w:val="24"/>
        </w:rPr>
        <w:t>,</w:t>
      </w:r>
      <w:r w:rsidR="00E31C89">
        <w:rPr>
          <w:rFonts w:ascii="Arial" w:hAnsi="Arial" w:cs="Arial"/>
          <w:sz w:val="24"/>
          <w:szCs w:val="24"/>
        </w:rPr>
        <w:t xml:space="preserve"> característicos das zonas técnicas e administrativas</w:t>
      </w:r>
      <w:r w:rsidR="005A1D5C">
        <w:rPr>
          <w:rFonts w:ascii="Arial" w:hAnsi="Arial" w:cs="Arial"/>
          <w:sz w:val="24"/>
          <w:szCs w:val="24"/>
        </w:rPr>
        <w:t>, autónom</w:t>
      </w:r>
      <w:r w:rsidR="00D271D7">
        <w:rPr>
          <w:rFonts w:ascii="Arial" w:hAnsi="Arial" w:cs="Arial"/>
          <w:sz w:val="24"/>
          <w:szCs w:val="24"/>
        </w:rPr>
        <w:t>o</w:t>
      </w:r>
      <w:r w:rsidR="005A1D5C">
        <w:rPr>
          <w:rFonts w:ascii="Arial" w:hAnsi="Arial" w:cs="Arial"/>
          <w:sz w:val="24"/>
          <w:szCs w:val="24"/>
        </w:rPr>
        <w:t>s das zonas publicas, devem se articular</w:t>
      </w:r>
      <w:r w:rsidR="00E31C89">
        <w:rPr>
          <w:rFonts w:ascii="Arial" w:hAnsi="Arial" w:cs="Arial"/>
          <w:sz w:val="24"/>
          <w:szCs w:val="24"/>
        </w:rPr>
        <w:t xml:space="preserve"> </w:t>
      </w:r>
      <w:r w:rsidR="005A1D5C">
        <w:rPr>
          <w:rFonts w:ascii="Arial" w:hAnsi="Arial" w:cs="Arial"/>
          <w:sz w:val="24"/>
          <w:szCs w:val="24"/>
        </w:rPr>
        <w:t xml:space="preserve">entre si em concordância com os blocos </w:t>
      </w:r>
      <w:r w:rsidR="00A51314">
        <w:rPr>
          <w:rFonts w:ascii="Arial" w:hAnsi="Arial" w:cs="Arial"/>
          <w:sz w:val="24"/>
          <w:szCs w:val="24"/>
        </w:rPr>
        <w:t>funcionais ou orgânicos que representam, desde a entrada própria para funcionários e livros percorrendo salas de reuniões, de tratamento técnico, de restauro e conservação até ao depósito central, mencionado apenas alguns.</w:t>
      </w:r>
    </w:p>
    <w:p w:rsidR="00F86410" w:rsidRDefault="00F86410" w:rsidP="008249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2C39" w:rsidRDefault="008B2C39" w:rsidP="008249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4690" w:rsidRPr="008B2C39" w:rsidRDefault="008B3EB8" w:rsidP="00F7077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B2C39">
        <w:rPr>
          <w:rFonts w:ascii="Arial" w:hAnsi="Arial" w:cs="Arial"/>
          <w:b/>
          <w:sz w:val="24"/>
          <w:szCs w:val="24"/>
        </w:rPr>
        <w:t>Bibliografia</w:t>
      </w:r>
    </w:p>
    <w:p w:rsidR="008B3EB8" w:rsidRDefault="008B3EB8" w:rsidP="00F707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3EB8" w:rsidRDefault="00C00738" w:rsidP="008B2C39">
      <w:pPr>
        <w:pStyle w:val="Bibliography"/>
        <w:ind w:left="1276" w:hanging="567"/>
        <w:rPr>
          <w:noProof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8B3EB8">
        <w:rPr>
          <w:rFonts w:ascii="Arial" w:hAnsi="Arial" w:cs="Arial"/>
          <w:sz w:val="24"/>
          <w:szCs w:val="24"/>
        </w:rPr>
        <w:instrText xml:space="preserve"> BIBLIOGRAPHY  \l 2070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8B3EB8">
        <w:rPr>
          <w:noProof/>
        </w:rPr>
        <w:t xml:space="preserve">BRAGA, António Maria, e Manuel de QUEIROZ. </w:t>
      </w:r>
      <w:r w:rsidR="008B3EB8">
        <w:rPr>
          <w:i/>
          <w:iCs/>
          <w:noProof/>
        </w:rPr>
        <w:t>Organização e Funcionalidade do Espaço nas Bibliotecas.</w:t>
      </w:r>
      <w:r w:rsidR="008B3EB8">
        <w:rPr>
          <w:noProof/>
        </w:rPr>
        <w:t xml:space="preserve"> Lisboa: Universidade Aberta, 2010.</w:t>
      </w:r>
    </w:p>
    <w:p w:rsidR="00D42CC6" w:rsidRDefault="00C00738" w:rsidP="0029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290A4B" w:rsidRDefault="00290A4B" w:rsidP="0029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0A4B" w:rsidRDefault="00290A4B" w:rsidP="0029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0A4B" w:rsidRDefault="00290A4B" w:rsidP="0029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0A4B" w:rsidRDefault="00290A4B" w:rsidP="0029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0A4B" w:rsidRDefault="00290A4B" w:rsidP="0029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0A4B" w:rsidRDefault="00290A4B" w:rsidP="0029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0A4B" w:rsidRDefault="00290A4B" w:rsidP="0029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1638"/>
        <w:gridCol w:w="709"/>
        <w:gridCol w:w="1417"/>
        <w:gridCol w:w="4096"/>
      </w:tblGrid>
      <w:tr w:rsidR="00290A4B" w:rsidRPr="00290A4B" w:rsidTr="00290A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Fonts w:ascii="Trebuchet MS" w:hAnsi="Trebuchet MS" w:cs="Arial"/>
                <w:color w:val="000000"/>
                <w:sz w:val="20"/>
                <w:szCs w:val="20"/>
              </w:rPr>
              <w:t>Item Notas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Fonts w:ascii="Trebuchet MS" w:hAnsi="Trebuchet MS" w:cs="Arial"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Fonts w:ascii="Trebuchet MS" w:hAnsi="Trebuchet MS" w:cs="Arial"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Fonts w:ascii="Trebuchet MS" w:hAnsi="Trebuchet MS" w:cs="Arial"/>
                <w:color w:val="000000"/>
                <w:sz w:val="20"/>
                <w:szCs w:val="20"/>
              </w:rPr>
              <w:t>Percentagem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pStyle w:val="NormalWeb"/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gramStart"/>
            <w:r w:rsidRPr="00290A4B">
              <w:rPr>
                <w:rFonts w:ascii="Trebuchet MS" w:hAnsi="Trebuchet MS" w:cs="Arial"/>
                <w:color w:val="000000"/>
                <w:sz w:val="20"/>
                <w:szCs w:val="20"/>
              </w:rPr>
              <w:t>A suas opiniões</w:t>
            </w:r>
            <w:proofErr w:type="gramEnd"/>
          </w:p>
        </w:tc>
      </w:tr>
      <w:tr w:rsidR="00290A4B" w:rsidRPr="00290A4B" w:rsidTr="00290A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hyperlink r:id="rId9" w:history="1">
              <w:r w:rsidRPr="00290A4B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drawing>
                  <wp:inline distT="0" distB="0" distL="0" distR="0">
                    <wp:extent cx="154305" cy="154305"/>
                    <wp:effectExtent l="19050" t="0" r="0" b="0"/>
                    <wp:docPr id="13" name="Picture 13" descr="Trabalho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Trabalho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305" cy="154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90A4B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>E-fólio A</w:t>
              </w:r>
            </w:hyperlink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gradeitem"/>
                <w:rFonts w:ascii="Trebuchet MS" w:hAnsi="Trebuchet MS" w:cs="Arial"/>
                <w:color w:val="000000"/>
                <w:sz w:val="20"/>
                <w:szCs w:val="20"/>
              </w:rPr>
              <w:t xml:space="preserve">Avaliação </w:t>
            </w:r>
            <w:proofErr w:type="spellStart"/>
            <w:r w:rsidRPr="00290A4B">
              <w:rPr>
                <w:rStyle w:val="gradeitem"/>
                <w:rFonts w:ascii="Trebuchet MS" w:hAnsi="Trebuchet MS" w:cs="Arial"/>
                <w:color w:val="000000"/>
                <w:sz w:val="20"/>
                <w:szCs w:val="20"/>
              </w:rPr>
              <w:t>electrónica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gradeitem"/>
                <w:rFonts w:ascii="Trebuchet MS" w:hAnsi="Trebuchet MS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gradeitem"/>
                <w:rFonts w:ascii="Trebuchet MS" w:hAnsi="Trebuchet MS" w:cs="Arial"/>
                <w:color w:val="000000"/>
                <w:sz w:val="20"/>
                <w:szCs w:val="20"/>
              </w:rPr>
              <w:t>100,00 %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pStyle w:val="NormalWeb"/>
              <w:spacing w:before="120" w:beforeAutospacing="0" w:after="120" w:afterAutospacing="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Fonts w:ascii="Trebuchet MS" w:hAnsi="Trebuchet MS" w:cs="Arial"/>
                <w:color w:val="000000"/>
                <w:sz w:val="20"/>
                <w:szCs w:val="20"/>
              </w:rPr>
              <w:t>Bom trabalho</w:t>
            </w:r>
          </w:p>
        </w:tc>
      </w:tr>
      <w:tr w:rsidR="00290A4B" w:rsidRPr="00290A4B" w:rsidTr="00290A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hyperlink r:id="rId11" w:history="1">
              <w:r w:rsidRPr="00290A4B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drawing>
                  <wp:inline distT="0" distB="0" distL="0" distR="0">
                    <wp:extent cx="154305" cy="154305"/>
                    <wp:effectExtent l="19050" t="0" r="0" b="0"/>
                    <wp:docPr id="14" name="Picture 14" descr="Trabalho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Trabalho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305" cy="154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90A4B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>E-fólio B</w:t>
              </w:r>
            </w:hyperlink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gradeitem"/>
                <w:rFonts w:ascii="Trebuchet MS" w:hAnsi="Trebuchet MS" w:cs="Arial"/>
                <w:color w:val="000000"/>
                <w:sz w:val="20"/>
                <w:szCs w:val="20"/>
              </w:rPr>
              <w:t xml:space="preserve">Avaliação </w:t>
            </w:r>
            <w:proofErr w:type="spellStart"/>
            <w:r w:rsidRPr="00290A4B">
              <w:rPr>
                <w:rStyle w:val="gradeitem"/>
                <w:rFonts w:ascii="Trebuchet MS" w:hAnsi="Trebuchet MS" w:cs="Arial"/>
                <w:color w:val="000000"/>
                <w:sz w:val="20"/>
                <w:szCs w:val="20"/>
              </w:rPr>
              <w:t>electrónica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gradeitem"/>
                <w:rFonts w:ascii="Trebuchet MS" w:hAnsi="Trebuchet MS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gradeitem"/>
                <w:rFonts w:ascii="Trebuchet MS" w:hAnsi="Trebuchet MS" w:cs="Arial"/>
                <w:color w:val="000000"/>
                <w:sz w:val="20"/>
                <w:szCs w:val="20"/>
              </w:rPr>
              <w:t>87,50 %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pStyle w:val="NormalWeb"/>
              <w:spacing w:before="120" w:beforeAutospacing="0" w:after="120" w:afterAutospacing="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Bom trabalho. Deveria 'arrumar' os conteúdos de uma forma mais organizada... </w:t>
            </w:r>
            <w:proofErr w:type="gramStart"/>
            <w:r w:rsidRPr="00290A4B">
              <w:rPr>
                <w:rFonts w:ascii="Trebuchet MS" w:hAnsi="Trebuchet MS" w:cs="Arial"/>
                <w:color w:val="000000"/>
                <w:sz w:val="20"/>
                <w:szCs w:val="20"/>
              </w:rPr>
              <w:t>só</w:t>
            </w:r>
            <w:proofErr w:type="gramEnd"/>
            <w:r w:rsidRPr="00290A4B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isso; veja, como exemplo, o último parágrafo. Faça </w:t>
            </w:r>
            <w:proofErr w:type="spellStart"/>
            <w:r w:rsidRPr="00290A4B">
              <w:rPr>
                <w:rFonts w:ascii="Trebuchet MS" w:hAnsi="Trebuchet MS" w:cs="Arial"/>
                <w:color w:val="000000"/>
                <w:sz w:val="20"/>
                <w:szCs w:val="20"/>
              </w:rPr>
              <w:t>frses</w:t>
            </w:r>
            <w:proofErr w:type="spellEnd"/>
            <w:r w:rsidRPr="00290A4B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mais curtas!</w:t>
            </w:r>
          </w:p>
        </w:tc>
      </w:tr>
      <w:tr w:rsidR="00290A4B" w:rsidRPr="00290A4B" w:rsidTr="00290A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Fonts w:ascii="Trebuchet MS" w:hAnsi="Trebuchet MS" w:cs="Arial"/>
                <w:color w:val="000000"/>
                <w:sz w:val="20"/>
                <w:szCs w:val="20"/>
              </w:rPr>
              <w:drawing>
                <wp:inline distT="0" distB="0" distL="0" distR="0">
                  <wp:extent cx="154305" cy="154305"/>
                  <wp:effectExtent l="19050" t="0" r="0" b="0"/>
                  <wp:docPr id="16" name="Picture 16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A4B">
              <w:rPr>
                <w:rStyle w:val="categoryitem2"/>
                <w:rFonts w:ascii="Trebuchet MS" w:hAnsi="Trebuchet MS" w:cs="Arial"/>
                <w:color w:val="000000"/>
                <w:sz w:val="20"/>
                <w:szCs w:val="20"/>
              </w:rPr>
              <w:t>E-fólios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categoryitem2"/>
                <w:rFonts w:ascii="Trebuchet MS" w:hAnsi="Trebuchet MS" w:cs="Arial"/>
                <w:color w:val="000000"/>
                <w:sz w:val="20"/>
                <w:szCs w:val="20"/>
              </w:rPr>
              <w:t xml:space="preserve">Avaliação </w:t>
            </w:r>
            <w:proofErr w:type="spellStart"/>
            <w:r w:rsidRPr="00290A4B">
              <w:rPr>
                <w:rStyle w:val="categoryitem2"/>
                <w:rFonts w:ascii="Trebuchet MS" w:hAnsi="Trebuchet MS" w:cs="Arial"/>
                <w:color w:val="000000"/>
                <w:sz w:val="20"/>
                <w:szCs w:val="20"/>
              </w:rPr>
              <w:t>electrónica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categoryitem2"/>
                <w:rFonts w:ascii="Trebuchet MS" w:hAnsi="Trebuchet MS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categoryitem2"/>
                <w:rFonts w:ascii="Trebuchet MS" w:hAnsi="Trebuchet MS" w:cs="Arial"/>
                <w:color w:val="000000"/>
                <w:sz w:val="20"/>
                <w:szCs w:val="20"/>
              </w:rPr>
              <w:t>93,75 %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pStyle w:val="NormalWeb"/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90A4B" w:rsidRPr="00290A4B" w:rsidTr="00290A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hyperlink r:id="rId13" w:history="1">
              <w:r w:rsidRPr="00290A4B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drawing>
                  <wp:inline distT="0" distB="0" distL="0" distR="0">
                    <wp:extent cx="154305" cy="154305"/>
                    <wp:effectExtent l="19050" t="0" r="0" b="0"/>
                    <wp:docPr id="17" name="Picture 17" descr="Trabalho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Trabalho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305" cy="154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90A4B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>P-fólio</w:t>
              </w:r>
            </w:hyperlink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gradeitem"/>
                <w:rFonts w:ascii="Trebuchet MS" w:hAnsi="Trebuchet MS" w:cs="Arial"/>
                <w:color w:val="000000"/>
                <w:sz w:val="20"/>
                <w:szCs w:val="20"/>
              </w:rPr>
              <w:t>Avaliação Contínua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gradeitem"/>
                <w:rFonts w:ascii="Trebuchet MS" w:hAnsi="Trebuchet MS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gradeitem"/>
                <w:rFonts w:ascii="Trebuchet MS" w:hAnsi="Trebuchet MS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pStyle w:val="NormalWeb"/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90A4B" w:rsidRPr="00290A4B" w:rsidTr="00290A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Fonts w:ascii="Trebuchet MS" w:hAnsi="Trebuchet MS" w:cs="Arial"/>
                <w:color w:val="000000"/>
                <w:sz w:val="20"/>
                <w:szCs w:val="20"/>
              </w:rPr>
              <w:drawing>
                <wp:inline distT="0" distB="0" distL="0" distR="0">
                  <wp:extent cx="154305" cy="154305"/>
                  <wp:effectExtent l="19050" t="0" r="0" b="0"/>
                  <wp:docPr id="18" name="Picture 18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A4B">
              <w:rPr>
                <w:rStyle w:val="categoryitem2"/>
                <w:rFonts w:ascii="Trebuchet MS" w:hAnsi="Trebuchet MS" w:cs="Arial"/>
                <w:color w:val="000000"/>
                <w:sz w:val="20"/>
                <w:szCs w:val="20"/>
              </w:rPr>
              <w:t>Pontos acumulados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categoryitem2"/>
                <w:rFonts w:ascii="Trebuchet MS" w:hAnsi="Trebuchet MS" w:cs="Arial"/>
                <w:color w:val="000000"/>
                <w:sz w:val="20"/>
                <w:szCs w:val="20"/>
              </w:rPr>
              <w:t>Avaliação Contínua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categoryitem2"/>
                <w:rFonts w:ascii="Trebuchet MS" w:hAnsi="Trebuchet MS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categoryitem2"/>
                <w:rFonts w:ascii="Trebuchet MS" w:hAnsi="Trebuchet MS" w:cs="Arial"/>
                <w:color w:val="000000"/>
                <w:sz w:val="20"/>
                <w:szCs w:val="20"/>
              </w:rPr>
              <w:t>37,50 %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pStyle w:val="NormalWeb"/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90A4B" w:rsidRPr="00290A4B" w:rsidTr="00290A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Fonts w:ascii="Trebuchet MS" w:hAnsi="Trebuchet MS" w:cs="Arial"/>
                <w:color w:val="000000"/>
                <w:sz w:val="20"/>
                <w:szCs w:val="20"/>
              </w:rPr>
              <w:drawing>
                <wp:inline distT="0" distB="0" distL="0" distR="0">
                  <wp:extent cx="154305" cy="154305"/>
                  <wp:effectExtent l="19050" t="0" r="0" b="0"/>
                  <wp:docPr id="19" name="Picture 19" descr="Fórmula de cálc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órmula de cálc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A4B">
              <w:rPr>
                <w:rStyle w:val="courseitem2"/>
                <w:rFonts w:ascii="Trebuchet MS" w:hAnsi="Trebuchet MS" w:cs="Arial"/>
                <w:color w:val="000000"/>
                <w:sz w:val="20"/>
                <w:szCs w:val="20"/>
              </w:rPr>
              <w:t>Nota final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courseitem2"/>
                <w:rFonts w:ascii="Trebuchet MS" w:hAnsi="Trebuchet MS" w:cs="Arial"/>
                <w:color w:val="000000"/>
                <w:sz w:val="20"/>
                <w:szCs w:val="20"/>
              </w:rPr>
              <w:t>Organização e Funcionalidade do Espaço 2011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290A4B">
              <w:rPr>
                <w:rStyle w:val="courseitem2"/>
                <w:rFonts w:ascii="Trebuchet MS" w:hAnsi="Trebuchet MS" w:cs="Arial"/>
                <w:color w:val="000000"/>
                <w:sz w:val="20"/>
                <w:szCs w:val="20"/>
              </w:rPr>
              <w:t>Rep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90A4B">
              <w:rPr>
                <w:rStyle w:val="courseitem2"/>
                <w:rFonts w:ascii="Trebuchet MS" w:hAnsi="Trebuchet MS" w:cs="Arial"/>
                <w:color w:val="000000"/>
                <w:sz w:val="20"/>
                <w:szCs w:val="20"/>
              </w:rPr>
              <w:t>0,00 %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4B" w:rsidRPr="00290A4B" w:rsidRDefault="00290A4B" w:rsidP="00290A4B">
            <w:pPr>
              <w:pStyle w:val="NormalWeb"/>
              <w:spacing w:before="120"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290A4B" w:rsidRDefault="00290A4B" w:rsidP="0029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90A4B" w:rsidSect="008B3BAE">
      <w:footerReference w:type="default" r:id="rId15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ED" w:rsidRDefault="002337ED" w:rsidP="0053106C">
      <w:pPr>
        <w:spacing w:after="0" w:line="240" w:lineRule="auto"/>
      </w:pPr>
      <w:r>
        <w:separator/>
      </w:r>
    </w:p>
  </w:endnote>
  <w:endnote w:type="continuationSeparator" w:id="0">
    <w:p w:rsidR="002337ED" w:rsidRDefault="002337ED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5D" w:rsidRDefault="00F9035D" w:rsidP="00F9035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ED" w:rsidRDefault="002337ED" w:rsidP="0053106C">
      <w:pPr>
        <w:spacing w:after="0" w:line="240" w:lineRule="auto"/>
      </w:pPr>
      <w:r>
        <w:separator/>
      </w:r>
    </w:p>
  </w:footnote>
  <w:footnote w:type="continuationSeparator" w:id="0">
    <w:p w:rsidR="002337ED" w:rsidRDefault="002337ED" w:rsidP="0053106C">
      <w:pPr>
        <w:spacing w:after="0" w:line="240" w:lineRule="auto"/>
      </w:pPr>
      <w:r>
        <w:continuationSeparator/>
      </w:r>
    </w:p>
  </w:footnote>
  <w:footnote w:id="1">
    <w:p w:rsidR="00E71357" w:rsidRPr="00E71357" w:rsidRDefault="00E71357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E71357">
        <w:rPr>
          <w:rFonts w:ascii="Arial" w:hAnsi="Arial" w:cs="Arial"/>
        </w:rPr>
        <w:t xml:space="preserve">Atributos enunciados a partir de uma </w:t>
      </w:r>
      <w:proofErr w:type="spellStart"/>
      <w:r w:rsidRPr="00E71357">
        <w:rPr>
          <w:rFonts w:ascii="Arial" w:hAnsi="Arial" w:cs="Arial"/>
        </w:rPr>
        <w:t>actualização</w:t>
      </w:r>
      <w:proofErr w:type="spellEnd"/>
      <w:r w:rsidRPr="00E71357">
        <w:rPr>
          <w:rFonts w:ascii="Arial" w:hAnsi="Arial" w:cs="Arial"/>
        </w:rPr>
        <w:t xml:space="preserve"> crítica aos </w:t>
      </w:r>
      <w:r>
        <w:rPr>
          <w:rFonts w:ascii="Arial" w:hAnsi="Arial" w:cs="Arial"/>
        </w:rPr>
        <w:t>“</w:t>
      </w:r>
      <w:r w:rsidRPr="00E71357">
        <w:rPr>
          <w:rFonts w:ascii="Arial" w:hAnsi="Arial" w:cs="Arial"/>
        </w:rPr>
        <w:t>Dez Mandamentos</w:t>
      </w:r>
      <w:r>
        <w:rPr>
          <w:rFonts w:ascii="Arial" w:hAnsi="Arial" w:cs="Arial"/>
        </w:rPr>
        <w:t>”</w:t>
      </w:r>
      <w:r w:rsidRPr="00E71357">
        <w:rPr>
          <w:rFonts w:ascii="Arial" w:hAnsi="Arial" w:cs="Arial"/>
        </w:rPr>
        <w:t xml:space="preserve"> de </w:t>
      </w:r>
      <w:proofErr w:type="spellStart"/>
      <w:r w:rsidRPr="00E71357">
        <w:rPr>
          <w:rFonts w:ascii="Arial" w:hAnsi="Arial" w:cs="Arial"/>
        </w:rPr>
        <w:t>Faulkner</w:t>
      </w:r>
      <w:proofErr w:type="spellEnd"/>
      <w:r w:rsidRPr="00E71357">
        <w:rPr>
          <w:rFonts w:ascii="Arial" w:hAnsi="Arial" w:cs="Arial"/>
        </w:rPr>
        <w:t xml:space="preserve">-Brown, por Andrew McDonald, </w:t>
      </w:r>
      <w:proofErr w:type="spellStart"/>
      <w:r w:rsidRPr="00E71357">
        <w:rPr>
          <w:rFonts w:ascii="Arial" w:hAnsi="Arial" w:cs="Arial"/>
        </w:rPr>
        <w:t>Director</w:t>
      </w:r>
      <w:proofErr w:type="spellEnd"/>
      <w:r w:rsidRPr="00E71357">
        <w:rPr>
          <w:rFonts w:ascii="Arial" w:hAnsi="Arial" w:cs="Arial"/>
        </w:rPr>
        <w:t xml:space="preserve"> da Biblioteca da Universidade de Londres-Este</w:t>
      </w:r>
      <w:r>
        <w:rPr>
          <w:rFonts w:ascii="Arial" w:hAnsi="Arial" w:cs="Arial"/>
        </w:rPr>
        <w:t>. BRAGA, 2010, 78-80</w:t>
      </w:r>
    </w:p>
  </w:footnote>
  <w:footnote w:id="2">
    <w:p w:rsidR="00963FA0" w:rsidRDefault="00963FA0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proofErr w:type="gramStart"/>
      <w:r w:rsidRPr="00F70773">
        <w:t>centros</w:t>
      </w:r>
      <w:proofErr w:type="gramEnd"/>
      <w:r w:rsidRPr="00F70773">
        <w:t xml:space="preserve"> de cultura, aprendizagem e informação, com a finalidade de preservar, disponibilizar e transmitir a informação nos vários tipos de suporte documental</w:t>
      </w:r>
      <w:r>
        <w:t>” (BRAGA, 2010: 81)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numPicBullet w:numPicBulletId="6">
    <w:pict>
      <v:shape id="_x0000_i1092" type="#_x0000_t75" style="width:3in;height:3in" o:bullet="t"/>
    </w:pict>
  </w:numPicBullet>
  <w:numPicBullet w:numPicBulletId="7">
    <w:pict>
      <v:shape id="_x0000_i1093" type="#_x0000_t75" style="width:3in;height:3in" o:bullet="t"/>
    </w:pict>
  </w:numPicBullet>
  <w:numPicBullet w:numPicBulletId="8">
    <w:pict>
      <v:shape id="_x0000_i1094" type="#_x0000_t75" style="width:3in;height:3in" o:bullet="t"/>
    </w:pict>
  </w:numPicBullet>
  <w:numPicBullet w:numPicBulletId="9">
    <w:pict>
      <v:shape id="_x0000_i1095" type="#_x0000_t75" style="width:3in;height:3in" o:bullet="t"/>
    </w:pict>
  </w:numPicBullet>
  <w:abstractNum w:abstractNumId="0">
    <w:nsid w:val="144A13AB"/>
    <w:multiLevelType w:val="hybridMultilevel"/>
    <w:tmpl w:val="6F405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068D3"/>
    <w:multiLevelType w:val="multilevel"/>
    <w:tmpl w:val="8D4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C09FF"/>
    <w:multiLevelType w:val="multilevel"/>
    <w:tmpl w:val="5D9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1193D"/>
    <w:multiLevelType w:val="multilevel"/>
    <w:tmpl w:val="DC4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17546"/>
    <w:multiLevelType w:val="hybridMultilevel"/>
    <w:tmpl w:val="BAC256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E4F27"/>
    <w:multiLevelType w:val="hybridMultilevel"/>
    <w:tmpl w:val="D96461D2"/>
    <w:lvl w:ilvl="0" w:tplc="AAA03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B4639"/>
    <w:multiLevelType w:val="hybridMultilevel"/>
    <w:tmpl w:val="B2C813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979FD"/>
    <w:multiLevelType w:val="multilevel"/>
    <w:tmpl w:val="4FD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13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57009"/>
    <w:rsid w:val="00071B54"/>
    <w:rsid w:val="00082830"/>
    <w:rsid w:val="000C2F0B"/>
    <w:rsid w:val="00110782"/>
    <w:rsid w:val="001234CD"/>
    <w:rsid w:val="00143574"/>
    <w:rsid w:val="00160087"/>
    <w:rsid w:val="00170F3E"/>
    <w:rsid w:val="0019530C"/>
    <w:rsid w:val="001A57DC"/>
    <w:rsid w:val="001B4038"/>
    <w:rsid w:val="001F25B2"/>
    <w:rsid w:val="00212EE7"/>
    <w:rsid w:val="0022009E"/>
    <w:rsid w:val="002337ED"/>
    <w:rsid w:val="00250995"/>
    <w:rsid w:val="00290A4B"/>
    <w:rsid w:val="002D3FA0"/>
    <w:rsid w:val="00313624"/>
    <w:rsid w:val="00315140"/>
    <w:rsid w:val="00333990"/>
    <w:rsid w:val="003639D3"/>
    <w:rsid w:val="00393158"/>
    <w:rsid w:val="003C4217"/>
    <w:rsid w:val="003D7883"/>
    <w:rsid w:val="003F6B16"/>
    <w:rsid w:val="004057C7"/>
    <w:rsid w:val="0042180E"/>
    <w:rsid w:val="00471FB8"/>
    <w:rsid w:val="00491AEB"/>
    <w:rsid w:val="004C6BE7"/>
    <w:rsid w:val="004E45AC"/>
    <w:rsid w:val="004E65E6"/>
    <w:rsid w:val="0053106C"/>
    <w:rsid w:val="0059184B"/>
    <w:rsid w:val="005A1D5C"/>
    <w:rsid w:val="00604D9A"/>
    <w:rsid w:val="0062512F"/>
    <w:rsid w:val="00643372"/>
    <w:rsid w:val="006763D9"/>
    <w:rsid w:val="00686D33"/>
    <w:rsid w:val="006C2977"/>
    <w:rsid w:val="006E7692"/>
    <w:rsid w:val="006F2B09"/>
    <w:rsid w:val="006F4690"/>
    <w:rsid w:val="00702351"/>
    <w:rsid w:val="00707277"/>
    <w:rsid w:val="00714A5D"/>
    <w:rsid w:val="007951BE"/>
    <w:rsid w:val="00797B5F"/>
    <w:rsid w:val="007D25BB"/>
    <w:rsid w:val="007E1BA1"/>
    <w:rsid w:val="00810FBD"/>
    <w:rsid w:val="00822C5C"/>
    <w:rsid w:val="0082426E"/>
    <w:rsid w:val="008249F8"/>
    <w:rsid w:val="00886DC0"/>
    <w:rsid w:val="008A5E1E"/>
    <w:rsid w:val="008B2C39"/>
    <w:rsid w:val="008B3BAE"/>
    <w:rsid w:val="008B3EB8"/>
    <w:rsid w:val="00952834"/>
    <w:rsid w:val="00955F26"/>
    <w:rsid w:val="00963FA0"/>
    <w:rsid w:val="00981EFE"/>
    <w:rsid w:val="00995B9A"/>
    <w:rsid w:val="009E1DC8"/>
    <w:rsid w:val="009E2529"/>
    <w:rsid w:val="009F7C9A"/>
    <w:rsid w:val="00A056D7"/>
    <w:rsid w:val="00A13684"/>
    <w:rsid w:val="00A442D0"/>
    <w:rsid w:val="00A51314"/>
    <w:rsid w:val="00A71673"/>
    <w:rsid w:val="00AB0480"/>
    <w:rsid w:val="00AB6156"/>
    <w:rsid w:val="00AF2A95"/>
    <w:rsid w:val="00B057A2"/>
    <w:rsid w:val="00B27878"/>
    <w:rsid w:val="00B62B65"/>
    <w:rsid w:val="00B75002"/>
    <w:rsid w:val="00BC6AE2"/>
    <w:rsid w:val="00BD4B18"/>
    <w:rsid w:val="00BD5305"/>
    <w:rsid w:val="00C00738"/>
    <w:rsid w:val="00C32169"/>
    <w:rsid w:val="00C62651"/>
    <w:rsid w:val="00C75009"/>
    <w:rsid w:val="00C92754"/>
    <w:rsid w:val="00C92A53"/>
    <w:rsid w:val="00CB5C6E"/>
    <w:rsid w:val="00CE7255"/>
    <w:rsid w:val="00D05AAB"/>
    <w:rsid w:val="00D271D7"/>
    <w:rsid w:val="00D4153F"/>
    <w:rsid w:val="00D42CC6"/>
    <w:rsid w:val="00D45A71"/>
    <w:rsid w:val="00DA5E32"/>
    <w:rsid w:val="00DC48E5"/>
    <w:rsid w:val="00DF50E4"/>
    <w:rsid w:val="00E1769E"/>
    <w:rsid w:val="00E251B1"/>
    <w:rsid w:val="00E31C89"/>
    <w:rsid w:val="00E71357"/>
    <w:rsid w:val="00E838E6"/>
    <w:rsid w:val="00EC2E63"/>
    <w:rsid w:val="00F56ECE"/>
    <w:rsid w:val="00F70773"/>
    <w:rsid w:val="00F86410"/>
    <w:rsid w:val="00F9035D"/>
    <w:rsid w:val="00F92D48"/>
    <w:rsid w:val="00F94DB6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5F"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C29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7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8B3EB8"/>
  </w:style>
  <w:style w:type="paragraph" w:styleId="FootnoteText">
    <w:name w:val="footnote text"/>
    <w:basedOn w:val="Normal"/>
    <w:link w:val="FootnoteTextChar"/>
    <w:uiPriority w:val="99"/>
    <w:semiHidden/>
    <w:unhideWhenUsed/>
    <w:rsid w:val="00E71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357"/>
    <w:rPr>
      <w:vertAlign w:val="superscript"/>
    </w:rPr>
  </w:style>
  <w:style w:type="character" w:customStyle="1" w:styleId="gradeitem">
    <w:name w:val="gradeitem"/>
    <w:basedOn w:val="DefaultParagraphFont"/>
    <w:rsid w:val="00290A4B"/>
  </w:style>
  <w:style w:type="character" w:customStyle="1" w:styleId="categoryitem2">
    <w:name w:val="categoryitem2"/>
    <w:basedOn w:val="DefaultParagraphFont"/>
    <w:rsid w:val="00290A4B"/>
  </w:style>
  <w:style w:type="character" w:customStyle="1" w:styleId="courseitem2">
    <w:name w:val="courseitem2"/>
    <w:basedOn w:val="DefaultParagraphFont"/>
    <w:rsid w:val="0029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7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7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odle.univ-ab.pt/moodle/mod/assignment/grade.php?id=229429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assignment/grade.php?id=22942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assignment/grade.php?id=2294091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>
  <b:Source>
    <b:Tag>BRA10</b:Tag>
    <b:SourceType>Book</b:SourceType>
    <b:Guid>{71BC6084-B63F-4610-851D-D230223AA965}</b:Guid>
    <b:LCID>0</b:LCID>
    <b:Author>
      <b:Author>
        <b:NameList>
          <b:Person>
            <b:Last>BRAGA</b:Last>
            <b:First>António</b:First>
            <b:Middle>Maria</b:Middle>
          </b:Person>
          <b:Person>
            <b:Last>QUEIROZ</b:Last>
            <b:First>Manuel</b:First>
            <b:Middle>de</b:Middle>
          </b:Person>
        </b:NameList>
      </b:Author>
    </b:Author>
    <b:Title>Organização e Funcionalidade do Espaço nas Bibliotecas</b:Title>
    <b:Year>2010</b:Year>
    <b:City>Lisboa</b:City>
    <b:Publisher>Universidade Aberta</b:Publisher>
    <b:StandardNumber>978-972-674-657-7</b:StandardNumber>
    <b:Pages>144</b:Pages>
    <b:RefOrder>1</b:RefOrder>
  </b:Source>
</b:Sources>
</file>

<file path=customXml/itemProps1.xml><?xml version="1.0" encoding="utf-8"?>
<ds:datastoreItem xmlns:ds="http://schemas.openxmlformats.org/officeDocument/2006/customXml" ds:itemID="{D20C43A0-D410-40A2-9858-A90F229C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2012-03-06T00:54:00Z</cp:lastPrinted>
  <dcterms:created xsi:type="dcterms:W3CDTF">2012-05-29T21:55:00Z</dcterms:created>
  <dcterms:modified xsi:type="dcterms:W3CDTF">2012-05-29T21:55:00Z</dcterms:modified>
</cp:coreProperties>
</file>