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3" w:rsidRPr="00282879" w:rsidRDefault="008A3313" w:rsidP="00B33FE3">
      <w:pPr>
        <w:rPr>
          <w:rFonts w:ascii="Times New Roman" w:hAnsi="Times New Roman"/>
          <w:sz w:val="24"/>
          <w:szCs w:val="24"/>
        </w:rPr>
      </w:pPr>
    </w:p>
    <w:p w:rsidR="00282879" w:rsidRPr="00282879" w:rsidRDefault="00282879" w:rsidP="00B33FE3">
      <w:pPr>
        <w:rPr>
          <w:rFonts w:ascii="Times New Roman" w:hAnsi="Times New Roman"/>
          <w:sz w:val="24"/>
          <w:szCs w:val="24"/>
        </w:rPr>
      </w:pPr>
    </w:p>
    <w:p w:rsidR="00CD1A9E" w:rsidRDefault="00CD1A9E" w:rsidP="00CD1A9E">
      <w:pPr>
        <w:spacing w:line="288" w:lineRule="atLeast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4: </w:t>
      </w:r>
      <w:r>
        <w:rPr>
          <w:rFonts w:ascii="Trebuchet MS" w:hAnsi="Trebuchet MS" w:cs="Arial"/>
          <w:color w:val="000000"/>
          <w:sz w:val="27"/>
          <w:szCs w:val="27"/>
        </w:rPr>
        <w:t>Abordagem empírica de campo ou «dos efeitos limitados»</w:t>
      </w:r>
    </w:p>
    <w:p w:rsidR="008A3313" w:rsidRPr="00282879" w:rsidRDefault="008A3313" w:rsidP="004A47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:rsidR="00A60137" w:rsidRPr="00A60137" w:rsidRDefault="00A60137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A60137" w:rsidRP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Caracterizar a abordagem dos efeitos limitados em contraponto às teorias anteriores.</w:t>
      </w:r>
    </w:p>
    <w:p w:rsid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Identificar as principais obras dentro desta abordagem.</w:t>
      </w:r>
    </w:p>
    <w:p w:rsid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Compreender e articular o rótulo “efeitos limitados”.</w:t>
      </w:r>
    </w:p>
    <w:p w:rsid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Compreender a importância do contexto social na compreensão dos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A60137">
        <w:rPr>
          <w:rFonts w:ascii="Trebuchet MS" w:hAnsi="Trebuchet MS" w:cs="Arial"/>
          <w:color w:val="000000"/>
          <w:sz w:val="24"/>
          <w:szCs w:val="24"/>
        </w:rPr>
        <w:t>pressupostos desta abordagem.</w:t>
      </w:r>
    </w:p>
    <w:p w:rsid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Distinguir as duas correntes dentro desta abordagem</w:t>
      </w:r>
    </w:p>
    <w:p w:rsidR="00A60137" w:rsidRDefault="00A60137" w:rsidP="00A60137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ind w:left="1152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A60137">
        <w:rPr>
          <w:rFonts w:ascii="Trebuchet MS" w:hAnsi="Trebuchet MS" w:cs="Arial"/>
          <w:color w:val="000000"/>
          <w:sz w:val="24"/>
          <w:szCs w:val="24"/>
        </w:rPr>
        <w:t>Estudo dos públicos e dos seus modelos de consumo</w:t>
      </w:r>
    </w:p>
    <w:p w:rsidR="00A60137" w:rsidRPr="00A60137" w:rsidRDefault="00A60137" w:rsidP="00A60137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ind w:left="1152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Estudos sobre a mediação social do consumo</w:t>
      </w:r>
    </w:p>
    <w:p w:rsidR="00A60137" w:rsidRDefault="00A60137" w:rsidP="00A60137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 xml:space="preserve">6. Caracterizar o modelo </w:t>
      </w:r>
      <w:proofErr w:type="spellStart"/>
      <w:r w:rsidRPr="00A60137">
        <w:rPr>
          <w:rFonts w:ascii="Trebuchet MS" w:hAnsi="Trebuchet MS" w:cs="Arial"/>
          <w:color w:val="000000"/>
          <w:sz w:val="24"/>
          <w:szCs w:val="24"/>
        </w:rPr>
        <w:t>two-step-flow</w:t>
      </w:r>
      <w:proofErr w:type="spellEnd"/>
      <w:r w:rsidRPr="00A60137">
        <w:rPr>
          <w:rFonts w:ascii="Trebuchet MS" w:hAnsi="Trebuchet MS" w:cs="Arial"/>
          <w:color w:val="000000"/>
          <w:sz w:val="24"/>
          <w:szCs w:val="24"/>
        </w:rPr>
        <w:t xml:space="preserve"> e a influência dos líderes de opinião.</w:t>
      </w:r>
    </w:p>
    <w:p w:rsidR="00A60137" w:rsidRDefault="00A60137" w:rsidP="00A60137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ind w:left="1152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O efeito de activação</w:t>
      </w:r>
    </w:p>
    <w:p w:rsidR="00A60137" w:rsidRDefault="00A60137" w:rsidP="00A60137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ind w:left="1152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O efeito de reforço</w:t>
      </w:r>
    </w:p>
    <w:p w:rsidR="00A60137" w:rsidRPr="00A60137" w:rsidRDefault="00A60137" w:rsidP="00A60137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ind w:left="1152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A60137">
        <w:rPr>
          <w:rFonts w:ascii="Trebuchet MS" w:hAnsi="Trebuchet MS" w:cs="Arial"/>
          <w:color w:val="000000"/>
          <w:sz w:val="24"/>
          <w:szCs w:val="24"/>
        </w:rPr>
        <w:t>O efeito de conversão</w:t>
      </w:r>
    </w:p>
    <w:p w:rsidR="008A3313" w:rsidRPr="00282879" w:rsidRDefault="008A3313" w:rsidP="00A60137">
      <w:pPr>
        <w:ind w:left="360"/>
        <w:rPr>
          <w:rFonts w:ascii="Times New Roman" w:hAnsi="Times New Roman"/>
          <w:sz w:val="24"/>
          <w:szCs w:val="24"/>
        </w:rPr>
      </w:pPr>
    </w:p>
    <w:sectPr w:rsidR="008A3313" w:rsidRPr="00282879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AF" w:rsidRDefault="002944AF" w:rsidP="0053106C">
      <w:pPr>
        <w:spacing w:after="0" w:line="240" w:lineRule="auto"/>
      </w:pPr>
      <w:r>
        <w:separator/>
      </w:r>
    </w:p>
  </w:endnote>
  <w:endnote w:type="continuationSeparator" w:id="0">
    <w:p w:rsidR="002944AF" w:rsidRDefault="002944A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914D07" w:rsidRDefault="008A3313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1A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AF" w:rsidRDefault="002944AF" w:rsidP="0053106C">
      <w:pPr>
        <w:spacing w:after="0" w:line="240" w:lineRule="auto"/>
      </w:pPr>
      <w:r>
        <w:separator/>
      </w:r>
    </w:p>
  </w:footnote>
  <w:footnote w:type="continuationSeparator" w:id="0">
    <w:p w:rsidR="002944AF" w:rsidRDefault="002944A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F65D89" w:rsidRDefault="008A3313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6"/>
  </w:num>
  <w:num w:numId="5">
    <w:abstractNumId w:val="25"/>
  </w:num>
  <w:num w:numId="6">
    <w:abstractNumId w:val="10"/>
  </w:num>
  <w:num w:numId="7">
    <w:abstractNumId w:val="2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7"/>
  </w:num>
  <w:num w:numId="14">
    <w:abstractNumId w:val="14"/>
  </w:num>
  <w:num w:numId="15">
    <w:abstractNumId w:val="23"/>
  </w:num>
  <w:num w:numId="16">
    <w:abstractNumId w:val="2"/>
  </w:num>
  <w:num w:numId="17">
    <w:abstractNumId w:val="1"/>
  </w:num>
  <w:num w:numId="18">
    <w:abstractNumId w:val="20"/>
  </w:num>
  <w:num w:numId="19">
    <w:abstractNumId w:val="18"/>
  </w:num>
  <w:num w:numId="20">
    <w:abstractNumId w:val="15"/>
  </w:num>
  <w:num w:numId="21">
    <w:abstractNumId w:val="11"/>
  </w:num>
  <w:num w:numId="22">
    <w:abstractNumId w:val="9"/>
  </w:num>
  <w:num w:numId="23">
    <w:abstractNumId w:val="24"/>
  </w:num>
  <w:num w:numId="24">
    <w:abstractNumId w:val="13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282879"/>
    <w:rsid w:val="002944AF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951BE"/>
    <w:rsid w:val="007B2110"/>
    <w:rsid w:val="007B7943"/>
    <w:rsid w:val="00886DC0"/>
    <w:rsid w:val="008A3313"/>
    <w:rsid w:val="00914D0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A1905"/>
    <w:rsid w:val="00AA2A9E"/>
    <w:rsid w:val="00AF041A"/>
    <w:rsid w:val="00B27878"/>
    <w:rsid w:val="00B33FE3"/>
    <w:rsid w:val="00B60B9D"/>
    <w:rsid w:val="00B62B65"/>
    <w:rsid w:val="00BD4B18"/>
    <w:rsid w:val="00BD5305"/>
    <w:rsid w:val="00BF18E5"/>
    <w:rsid w:val="00C32169"/>
    <w:rsid w:val="00C92754"/>
    <w:rsid w:val="00C9561B"/>
    <w:rsid w:val="00CD1A9E"/>
    <w:rsid w:val="00CE7255"/>
    <w:rsid w:val="00D05AAB"/>
    <w:rsid w:val="00D4153F"/>
    <w:rsid w:val="00D45A71"/>
    <w:rsid w:val="00D57E04"/>
    <w:rsid w:val="00D64497"/>
    <w:rsid w:val="00DD4893"/>
    <w:rsid w:val="00DE6897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88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697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35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14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6080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823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5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8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70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2013-03-07T00:28:00Z</cp:lastPrinted>
  <dcterms:created xsi:type="dcterms:W3CDTF">2013-04-01T22:26:00Z</dcterms:created>
  <dcterms:modified xsi:type="dcterms:W3CDTF">2013-04-08T23:47:00Z</dcterms:modified>
</cp:coreProperties>
</file>