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4F1F73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 xml:space="preserve">E-FÓLIO </w:t>
      </w:r>
      <w:r w:rsidR="00B80F2E">
        <w:rPr>
          <w:b/>
          <w:bCs/>
          <w:sz w:val="32"/>
          <w:szCs w:val="32"/>
        </w:rPr>
        <w:t>B</w:t>
      </w:r>
    </w:p>
    <w:p w:rsidR="0034474A" w:rsidRDefault="0034474A" w:rsidP="004F1F73">
      <w:pPr>
        <w:autoSpaceDE w:val="0"/>
        <w:autoSpaceDN w:val="0"/>
        <w:adjustRightInd w:val="0"/>
        <w:spacing w:before="1200" w:after="480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="00B80F2E"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</w:r>
      <w:r w:rsidR="00B80F2E">
        <w:rPr>
          <w:sz w:val="28"/>
          <w:szCs w:val="28"/>
        </w:rPr>
        <w:tab/>
      </w:r>
      <w:r>
        <w:rPr>
          <w:sz w:val="28"/>
          <w:szCs w:val="28"/>
        </w:rPr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4F1F73" w:rsidRDefault="0034474A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 w:rsidRPr="004F1F73">
        <w:rPr>
          <w:b/>
          <w:bCs/>
        </w:rPr>
        <w:t>ANÁLISE E LINGUAGENS DOCUMENTAIS III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AC006F">
        <w:rPr>
          <w:sz w:val="28"/>
          <w:szCs w:val="28"/>
        </w:rPr>
        <w:t xml:space="preserve">Dra. </w:t>
      </w:r>
      <w:r w:rsidR="00FE5511" w:rsidRPr="00FE5511">
        <w:rPr>
          <w:sz w:val="28"/>
          <w:szCs w:val="28"/>
        </w:rPr>
        <w:t>Ana Cristina Moreira</w:t>
      </w:r>
    </w:p>
    <w:p w:rsidR="00EA6375" w:rsidRPr="0034474A" w:rsidRDefault="00D63208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Dezembro</w:t>
      </w:r>
      <w:r w:rsidR="0034474A"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293295" w:rsidRPr="00253866" w:rsidRDefault="00293295" w:rsidP="00544ACB">
      <w:pPr>
        <w:pStyle w:val="ListParagraph"/>
        <w:numPr>
          <w:ilvl w:val="0"/>
          <w:numId w:val="35"/>
        </w:numPr>
        <w:shd w:val="clear" w:color="auto" w:fill="FFFFFF"/>
        <w:spacing w:before="360"/>
        <w:ind w:left="357" w:hanging="357"/>
        <w:contextualSpacing w:val="0"/>
        <w:jc w:val="both"/>
        <w:rPr>
          <w:rFonts w:eastAsia="Times New Roman"/>
          <w:b/>
          <w:color w:val="365F91" w:themeColor="accent1" w:themeShade="BF"/>
        </w:rPr>
      </w:pPr>
    </w:p>
    <w:p w:rsidR="00DC4CB5" w:rsidRPr="00A82C6D" w:rsidRDefault="00DC4CB5" w:rsidP="004E469B">
      <w:pPr>
        <w:pStyle w:val="ListParagraph"/>
        <w:numPr>
          <w:ilvl w:val="1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</w:rPr>
      </w:pPr>
    </w:p>
    <w:p w:rsidR="009B1135" w:rsidRDefault="00106FE8" w:rsidP="00106FE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A CDU é uma linguagem documental que organiza e classifica o conhecimento em categorias e dentro destas enumera-o para cada uma das suas facetas. </w:t>
      </w:r>
      <w:r w:rsidR="00AD1615">
        <w:rPr>
          <w:rFonts w:eastAsia="Times New Roman"/>
        </w:rPr>
        <w:t>E</w:t>
      </w:r>
      <w:r>
        <w:rPr>
          <w:rFonts w:eastAsia="Times New Roman"/>
        </w:rPr>
        <w:t>sta organização</w:t>
      </w:r>
      <w:r w:rsidR="00AD1615">
        <w:rPr>
          <w:rFonts w:eastAsia="Times New Roman"/>
        </w:rPr>
        <w:t>,</w:t>
      </w:r>
      <w:r>
        <w:rPr>
          <w:rFonts w:eastAsia="Times New Roman"/>
        </w:rPr>
        <w:t xml:space="preserve"> feita de forma sistematizada</w:t>
      </w:r>
      <w:r w:rsidR="00AD1615">
        <w:rPr>
          <w:rFonts w:eastAsia="Times New Roman"/>
        </w:rPr>
        <w:t>,</w:t>
      </w:r>
      <w:r>
        <w:rPr>
          <w:rFonts w:eastAsia="Times New Roman"/>
        </w:rPr>
        <w:t xml:space="preserve"> t</w:t>
      </w:r>
      <w:r w:rsidR="00AD1615">
        <w:rPr>
          <w:rFonts w:eastAsia="Times New Roman"/>
        </w:rPr>
        <w:t>e</w:t>
      </w:r>
      <w:r>
        <w:rPr>
          <w:rFonts w:eastAsia="Times New Roman"/>
        </w:rPr>
        <w:t xml:space="preserve">m </w:t>
      </w:r>
      <w:r w:rsidR="00AD1615">
        <w:rPr>
          <w:rFonts w:eastAsia="Times New Roman"/>
        </w:rPr>
        <w:t>por</w:t>
      </w:r>
      <w:r>
        <w:rPr>
          <w:rFonts w:eastAsia="Times New Roman"/>
        </w:rPr>
        <w:t xml:space="preserve"> resultado as notações</w:t>
      </w:r>
      <w:r w:rsidR="00AD1615">
        <w:rPr>
          <w:rFonts w:eastAsia="Times New Roman"/>
        </w:rPr>
        <w:t xml:space="preserve"> atribuídas aos conceitos extraídos,</w:t>
      </w:r>
      <w:r>
        <w:rPr>
          <w:rFonts w:eastAsia="Times New Roman"/>
        </w:rPr>
        <w:t xml:space="preserve"> </w:t>
      </w:r>
      <w:r w:rsidR="00AD1615">
        <w:rPr>
          <w:rFonts w:eastAsia="Times New Roman"/>
        </w:rPr>
        <w:t>do</w:t>
      </w:r>
      <w:r>
        <w:rPr>
          <w:rFonts w:eastAsia="Times New Roman"/>
        </w:rPr>
        <w:t xml:space="preserve"> documento em análise, que são aplicadas aos vários assuntos. A aplicação de tais notações apresenta vantagens e desvantagens </w:t>
      </w:r>
      <w:r w:rsidR="004E469B">
        <w:rPr>
          <w:rFonts w:eastAsia="Times New Roman"/>
        </w:rPr>
        <w:t xml:space="preserve">pelo </w:t>
      </w:r>
      <w:r>
        <w:rPr>
          <w:rFonts w:eastAsia="Times New Roman"/>
        </w:rPr>
        <w:t>que</w:t>
      </w:r>
      <w:r w:rsidR="00853856">
        <w:rPr>
          <w:rFonts w:eastAsia="Times New Roman"/>
        </w:rPr>
        <w:t>,</w:t>
      </w:r>
      <w:r>
        <w:rPr>
          <w:rFonts w:eastAsia="Times New Roman"/>
        </w:rPr>
        <w:t xml:space="preserve"> compete ao centro documental definir políticas que</w:t>
      </w:r>
      <w:r w:rsidR="00853856">
        <w:rPr>
          <w:rFonts w:eastAsia="Times New Roman"/>
        </w:rPr>
        <w:t xml:space="preserve"> minimizem</w:t>
      </w:r>
      <w:r>
        <w:rPr>
          <w:rFonts w:eastAsia="Times New Roman"/>
        </w:rPr>
        <w:t xml:space="preserve"> as desvantagens e potencie</w:t>
      </w:r>
      <w:r w:rsidR="00853856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4E469B">
        <w:rPr>
          <w:rFonts w:eastAsia="Times New Roman"/>
        </w:rPr>
        <w:t xml:space="preserve">ainda mais </w:t>
      </w:r>
      <w:r>
        <w:rPr>
          <w:rFonts w:eastAsia="Times New Roman"/>
        </w:rPr>
        <w:t>as vantagens por forma a beneficiar o trabalho do indexador e ir de encontro às necessidades dos utilizadores, utilizando a tipologia e estrutura da melhor forma possível.</w:t>
      </w:r>
    </w:p>
    <w:p w:rsidR="00106FE8" w:rsidRDefault="00106FE8" w:rsidP="00106FE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 estrutura da CDU</w:t>
      </w:r>
      <w:r w:rsidR="009B63C4">
        <w:rPr>
          <w:rFonts w:eastAsia="Times New Roman"/>
        </w:rPr>
        <w:t xml:space="preserve"> que</w:t>
      </w:r>
      <w:r>
        <w:rPr>
          <w:rFonts w:eastAsia="Times New Roman"/>
        </w:rPr>
        <w:t>,</w:t>
      </w:r>
      <w:r w:rsidR="009B63C4">
        <w:rPr>
          <w:rFonts w:eastAsia="Times New Roman"/>
        </w:rPr>
        <w:t xml:space="preserve"> sistem</w:t>
      </w:r>
      <w:r w:rsidR="006F360F">
        <w:rPr>
          <w:rFonts w:eastAsia="Times New Roman"/>
        </w:rPr>
        <w:t>a</w:t>
      </w:r>
      <w:r w:rsidR="009B63C4">
        <w:rPr>
          <w:rFonts w:eastAsia="Times New Roman"/>
        </w:rPr>
        <w:t>tica</w:t>
      </w:r>
      <w:r w:rsidR="006F360F">
        <w:rPr>
          <w:rFonts w:eastAsia="Times New Roman"/>
        </w:rPr>
        <w:t>mente</w:t>
      </w:r>
      <w:r w:rsidR="009B63C4">
        <w:rPr>
          <w:rFonts w:eastAsia="Times New Roman"/>
        </w:rPr>
        <w:t xml:space="preserve"> </w:t>
      </w:r>
      <w:r>
        <w:rPr>
          <w:rFonts w:eastAsia="Times New Roman"/>
        </w:rPr>
        <w:t>enumera</w:t>
      </w:r>
      <w:r w:rsidR="00505B21">
        <w:rPr>
          <w:rFonts w:eastAsia="Times New Roman"/>
        </w:rPr>
        <w:t xml:space="preserve"> e divide</w:t>
      </w:r>
      <w:r w:rsidR="009B63C4">
        <w:rPr>
          <w:rFonts w:eastAsia="Times New Roman"/>
        </w:rPr>
        <w:t>, através de Classes e de Sub-classes</w:t>
      </w:r>
      <w:r w:rsidR="007E0701">
        <w:rPr>
          <w:rFonts w:eastAsia="Times New Roman"/>
        </w:rPr>
        <w:t>, subordinadas hierarquicamente às primeiras</w:t>
      </w:r>
      <w:r w:rsidR="009B63C4">
        <w:rPr>
          <w:rFonts w:eastAsia="Times New Roman"/>
        </w:rPr>
        <w:t>, as várias áreas do saber,</w:t>
      </w:r>
      <w:r>
        <w:rPr>
          <w:rFonts w:eastAsia="Times New Roman"/>
        </w:rPr>
        <w:t xml:space="preserve"> apoiada por tabelas auxiliares </w:t>
      </w:r>
      <w:r w:rsidR="009B63C4">
        <w:rPr>
          <w:rFonts w:eastAsia="Times New Roman"/>
        </w:rPr>
        <w:t xml:space="preserve">comuns, </w:t>
      </w:r>
      <w:r>
        <w:rPr>
          <w:rFonts w:eastAsia="Times New Roman"/>
        </w:rPr>
        <w:t xml:space="preserve">torna-a </w:t>
      </w:r>
      <w:r w:rsidR="00D14E46">
        <w:rPr>
          <w:rFonts w:eastAsia="Times New Roman"/>
        </w:rPr>
        <w:t>n</w:t>
      </w:r>
      <w:r w:rsidR="00A339D3">
        <w:rPr>
          <w:rFonts w:eastAsia="Times New Roman"/>
        </w:rPr>
        <w:t xml:space="preserve">um sistema misto e </w:t>
      </w:r>
      <w:r>
        <w:rPr>
          <w:rFonts w:eastAsia="Times New Roman"/>
        </w:rPr>
        <w:t xml:space="preserve">flexível, na medida em que para além de classificar um </w:t>
      </w:r>
      <w:r w:rsidR="009B63C4">
        <w:rPr>
          <w:rFonts w:eastAsia="Times New Roman"/>
        </w:rPr>
        <w:t xml:space="preserve">determinado </w:t>
      </w:r>
      <w:r>
        <w:rPr>
          <w:rFonts w:eastAsia="Times New Roman"/>
        </w:rPr>
        <w:t>documento dentro de cada uma das categorias do conhecimento, permite ao indexador adicionar notações</w:t>
      </w:r>
      <w:r w:rsidR="009B63C4">
        <w:rPr>
          <w:rFonts w:eastAsia="Times New Roman"/>
        </w:rPr>
        <w:t xml:space="preserve"> auxiliares, nomeadamente de tempo, de forma e de língua, que permitem uma mais eficaz recuperação da informação indo assim de encontro ao interesse dos utilizadores que buscam essa informação.</w:t>
      </w:r>
      <w:r w:rsidR="00C86D15">
        <w:rPr>
          <w:rFonts w:eastAsia="Times New Roman"/>
        </w:rPr>
        <w:t xml:space="preserve"> Precisamente por abranger, quanto ao conteúdo, todas as áreas do saber, referenciadas pelas respectivas taxonomias, quanto à tipologia é designada como </w:t>
      </w:r>
      <w:r w:rsidR="00C86D15" w:rsidRPr="00C86D15">
        <w:rPr>
          <w:rFonts w:eastAsia="Times New Roman"/>
          <w:i/>
        </w:rPr>
        <w:t>classificação enciclopédica</w:t>
      </w:r>
      <w:r w:rsidR="00C86D15">
        <w:rPr>
          <w:rStyle w:val="FootnoteReference"/>
          <w:rFonts w:eastAsia="Times New Roman"/>
        </w:rPr>
        <w:footnoteReference w:id="1"/>
      </w:r>
      <w:r w:rsidR="00C86D15">
        <w:rPr>
          <w:rFonts w:eastAsia="Times New Roman"/>
        </w:rPr>
        <w:t>.</w:t>
      </w:r>
    </w:p>
    <w:p w:rsidR="004627DC" w:rsidRDefault="00505B21" w:rsidP="00106FE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Na sua forma, onde a organização </w:t>
      </w:r>
      <w:r w:rsidR="004E469B">
        <w:rPr>
          <w:rFonts w:eastAsia="Times New Roman"/>
        </w:rPr>
        <w:t>é</w:t>
      </w:r>
      <w:r>
        <w:rPr>
          <w:rFonts w:eastAsia="Times New Roman"/>
        </w:rPr>
        <w:t xml:space="preserve"> estabelecida por códigos numéricos, que sintetizam e referenciam os vários assuntos, permite ordenar hierarquicamente o conteúdo dos documento</w:t>
      </w:r>
      <w:r w:rsidR="004E469B">
        <w:rPr>
          <w:rFonts w:eastAsia="Times New Roman"/>
        </w:rPr>
        <w:t>s</w:t>
      </w:r>
      <w:r>
        <w:rPr>
          <w:rFonts w:eastAsia="Times New Roman"/>
        </w:rPr>
        <w:t xml:space="preserve"> e assim todo o conhecimento e relações entre assuntos, o qu</w:t>
      </w:r>
      <w:r w:rsidR="004E469B">
        <w:rPr>
          <w:rFonts w:eastAsia="Times New Roman"/>
        </w:rPr>
        <w:t>e</w:t>
      </w:r>
      <w:r>
        <w:rPr>
          <w:rFonts w:eastAsia="Times New Roman"/>
        </w:rPr>
        <w:t xml:space="preserve"> não seria possível através de uma ordenação alfabética Na utilização dos códigos numéricos e na sua representação decimal permite-lhe classificar </w:t>
      </w:r>
      <w:r w:rsidR="007E0701" w:rsidRPr="007E0701">
        <w:rPr>
          <w:rFonts w:eastAsia="Times New Roman"/>
        </w:rPr>
        <w:t xml:space="preserve">infinitamente </w:t>
      </w:r>
      <w:r>
        <w:rPr>
          <w:rFonts w:eastAsia="Times New Roman"/>
        </w:rPr>
        <w:t>as várias famílias e sub-famílias.</w:t>
      </w:r>
      <w:r w:rsidR="007E0701">
        <w:rPr>
          <w:rFonts w:eastAsia="Times New Roman"/>
        </w:rPr>
        <w:t xml:space="preserve"> Sendo os vários conceitos</w:t>
      </w:r>
      <w:r>
        <w:rPr>
          <w:rFonts w:eastAsia="Times New Roman"/>
        </w:rPr>
        <w:t xml:space="preserve"> </w:t>
      </w:r>
      <w:r w:rsidR="007E0701">
        <w:rPr>
          <w:rFonts w:eastAsia="Times New Roman"/>
        </w:rPr>
        <w:t>que abrange</w:t>
      </w:r>
      <w:r w:rsidR="005636EF">
        <w:rPr>
          <w:rFonts w:eastAsia="Times New Roman"/>
        </w:rPr>
        <w:t xml:space="preserve"> definidos de antemão</w:t>
      </w:r>
      <w:r w:rsidR="007E0701">
        <w:rPr>
          <w:rFonts w:eastAsia="Times New Roman"/>
        </w:rPr>
        <w:t xml:space="preserve">, independentemente do documento a classificar, esta é considerada como uma linguagem pré-coordenada, ou seja, construída </w:t>
      </w:r>
      <w:proofErr w:type="gramStart"/>
      <w:r w:rsidR="007E0701" w:rsidRPr="007E0701">
        <w:rPr>
          <w:rFonts w:eastAsia="Times New Roman"/>
          <w:i/>
        </w:rPr>
        <w:t>a priori</w:t>
      </w:r>
      <w:proofErr w:type="gramEnd"/>
      <w:r w:rsidR="007E0701">
        <w:rPr>
          <w:rFonts w:eastAsia="Times New Roman"/>
        </w:rPr>
        <w:t>.</w:t>
      </w:r>
    </w:p>
    <w:p w:rsidR="00505B21" w:rsidRDefault="007E0701" w:rsidP="00106FE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Apresenta como principais vantagens a possibilidade de recuperar informação por assuntos e de acordo com o nível de especificidade que se pretende. Deste modo permite ao centro de documentação ou biblioteca a produção de catálogos temáticos </w:t>
      </w:r>
      <w:r>
        <w:rPr>
          <w:rFonts w:eastAsia="Times New Roman"/>
        </w:rPr>
        <w:lastRenderedPageBreak/>
        <w:t xml:space="preserve">com maior ou menor especificidade </w:t>
      </w:r>
      <w:r w:rsidR="0017781B">
        <w:rPr>
          <w:rFonts w:eastAsia="Times New Roman"/>
        </w:rPr>
        <w:t xml:space="preserve">e arrumar nas prateleiras a documentação seguindo essa mesma ordem de assuntos e de especificidade. É uma linguagem amplamente difundida pelos centros documentais em todo o mundo, independente da língua do país ou do utilizador e apoiada por normas internacionais com acompanhamento permanente pelo </w:t>
      </w:r>
      <w:r w:rsidR="0017781B" w:rsidRPr="0017781B">
        <w:rPr>
          <w:i/>
        </w:rPr>
        <w:t>UDC Consortium</w:t>
      </w:r>
      <w:r w:rsidR="0017781B">
        <w:rPr>
          <w:i/>
        </w:rPr>
        <w:t>.</w:t>
      </w:r>
    </w:p>
    <w:p w:rsidR="00505B21" w:rsidRDefault="0017781B" w:rsidP="00106FE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Apresenta como principais desvantagens </w:t>
      </w:r>
      <w:r w:rsidR="006B6593">
        <w:rPr>
          <w:rFonts w:eastAsia="Times New Roman"/>
        </w:rPr>
        <w:t xml:space="preserve">a complexidade com que se pode deparar o técnico na imensidão </w:t>
      </w:r>
      <w:r w:rsidR="00853856">
        <w:rPr>
          <w:rFonts w:eastAsia="Times New Roman"/>
        </w:rPr>
        <w:t xml:space="preserve">de </w:t>
      </w:r>
      <w:r w:rsidR="006B6593">
        <w:rPr>
          <w:rFonts w:eastAsia="Times New Roman"/>
        </w:rPr>
        <w:t xml:space="preserve">assuntos e de relações que podem resultar se se pretender a maior exaustividade possível </w:t>
      </w:r>
      <w:r w:rsidR="0097225E">
        <w:rPr>
          <w:rFonts w:eastAsia="Times New Roman"/>
        </w:rPr>
        <w:t xml:space="preserve">através </w:t>
      </w:r>
      <w:r w:rsidR="006B6593">
        <w:rPr>
          <w:rFonts w:eastAsia="Times New Roman"/>
        </w:rPr>
        <w:t>das notações a atribuir</w:t>
      </w:r>
      <w:r w:rsidR="0097225E">
        <w:rPr>
          <w:rFonts w:eastAsia="Times New Roman"/>
        </w:rPr>
        <w:t xml:space="preserve"> ao documento</w:t>
      </w:r>
      <w:r w:rsidR="006B6593">
        <w:rPr>
          <w:rFonts w:eastAsia="Times New Roman"/>
        </w:rPr>
        <w:t>. Daí a importância da definição da política de classificação do centro documental.</w:t>
      </w:r>
      <w:r w:rsidR="0097225E">
        <w:rPr>
          <w:rFonts w:eastAsia="Times New Roman"/>
        </w:rPr>
        <w:t xml:space="preserve"> Como índice alfabético não é capaz de reflectir as várias relações, entre assuntos, dado ter sido concebida como estrutura numérica. Mas talvez a mais importante, prende-se com a possibilidade de se alterar </w:t>
      </w:r>
      <w:r w:rsidR="00853856">
        <w:rPr>
          <w:rFonts w:eastAsia="Times New Roman"/>
        </w:rPr>
        <w:t xml:space="preserve">todos os </w:t>
      </w:r>
      <w:r w:rsidR="0097225E">
        <w:rPr>
          <w:rFonts w:eastAsia="Times New Roman"/>
        </w:rPr>
        <w:t>conceitos atribuídos a uma determinada classe, por exemplo</w:t>
      </w:r>
      <w:r w:rsidR="00853856">
        <w:rPr>
          <w:rFonts w:eastAsia="Times New Roman"/>
        </w:rPr>
        <w:t>,</w:t>
      </w:r>
      <w:r w:rsidR="0097225E">
        <w:rPr>
          <w:rFonts w:eastAsia="Times New Roman"/>
        </w:rPr>
        <w:t xml:space="preserve"> pela sua obsolescência, podendo dessa forma comprometer toda a sua estrutura e hierarquias.</w:t>
      </w:r>
    </w:p>
    <w:p w:rsidR="004627DC" w:rsidRDefault="004627DC" w:rsidP="00106FE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Assim, a CDU</w:t>
      </w:r>
      <w:r w:rsidR="00853856">
        <w:rPr>
          <w:rFonts w:eastAsia="Times New Roman"/>
        </w:rPr>
        <w:t>,</w:t>
      </w:r>
      <w:r>
        <w:rPr>
          <w:rFonts w:eastAsia="Times New Roman"/>
        </w:rPr>
        <w:t xml:space="preserve"> ao ordenar todo o saber como a compilação de um reportório universal de bibliografia, permite-nos através da sua estrutura enumerativa e da sua tipologia mista</w:t>
      </w:r>
      <w:r w:rsidR="00853856">
        <w:rPr>
          <w:rFonts w:eastAsia="Times New Roman"/>
        </w:rPr>
        <w:t>,</w:t>
      </w:r>
      <w:r>
        <w:rPr>
          <w:rFonts w:eastAsia="Times New Roman"/>
        </w:rPr>
        <w:t xml:space="preserve"> classificar de forma ágil qualquer documento que se apresente ao centro de documentação com o fim de ser classificado, permitindo por sua vez que a recuperação da informação seja o mais eficiente possível indo de encontro à satisfação das necessidades dos utilizadores.</w:t>
      </w:r>
    </w:p>
    <w:p w:rsidR="00857A38" w:rsidRPr="00253866" w:rsidRDefault="00671CAC" w:rsidP="004E469B">
      <w:pPr>
        <w:pStyle w:val="ListParagraph"/>
        <w:numPr>
          <w:ilvl w:val="1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Arial Unicode MS"/>
        </w:rPr>
        <w:t>025.4</w:t>
      </w:r>
    </w:p>
    <w:p w:rsidR="002059F5" w:rsidRPr="00253866" w:rsidRDefault="00544ACB" w:rsidP="004E469B">
      <w:pPr>
        <w:pStyle w:val="ListParagraph"/>
        <w:numPr>
          <w:ilvl w:val="1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544ACB">
        <w:rPr>
          <w:rFonts w:eastAsia="Times New Roman"/>
          <w:b/>
        </w:rPr>
        <w:t>Descritores</w:t>
      </w:r>
      <w:r>
        <w:rPr>
          <w:rFonts w:eastAsia="Times New Roman"/>
        </w:rPr>
        <w:t>: C</w:t>
      </w:r>
      <w:r w:rsidR="002059F5" w:rsidRPr="00253866">
        <w:rPr>
          <w:rFonts w:eastAsia="Times New Roman"/>
        </w:rPr>
        <w:t xml:space="preserve">lassificação, </w:t>
      </w:r>
      <w:r>
        <w:rPr>
          <w:rFonts w:eastAsia="Times New Roman"/>
        </w:rPr>
        <w:t>A</w:t>
      </w:r>
      <w:r w:rsidR="008A1AB6" w:rsidRPr="00253866">
        <w:rPr>
          <w:rFonts w:eastAsia="Times New Roman"/>
        </w:rPr>
        <w:t xml:space="preserve">nálise da informação, </w:t>
      </w:r>
      <w:r>
        <w:rPr>
          <w:rFonts w:eastAsia="Times New Roman"/>
        </w:rPr>
        <w:t>I</w:t>
      </w:r>
      <w:r w:rsidR="008A1AB6" w:rsidRPr="00253866">
        <w:rPr>
          <w:rFonts w:eastAsia="Times New Roman"/>
        </w:rPr>
        <w:t>ndexação de documentos</w:t>
      </w:r>
      <w:r>
        <w:rPr>
          <w:rFonts w:eastAsia="Times New Roman"/>
        </w:rPr>
        <w:t>;</w:t>
      </w:r>
    </w:p>
    <w:p w:rsidR="00857A38" w:rsidRPr="00253866" w:rsidRDefault="00857A38" w:rsidP="00635441">
      <w:pPr>
        <w:pStyle w:val="ListParagraph"/>
        <w:numPr>
          <w:ilvl w:val="0"/>
          <w:numId w:val="35"/>
        </w:numPr>
        <w:shd w:val="clear" w:color="auto" w:fill="FFFFFF"/>
        <w:spacing w:before="360"/>
        <w:ind w:left="357" w:hanging="357"/>
        <w:contextualSpacing w:val="0"/>
        <w:jc w:val="both"/>
        <w:rPr>
          <w:rFonts w:eastAsia="Times New Roman"/>
          <w:b/>
          <w:color w:val="365F91" w:themeColor="accent1" w:themeShade="BF"/>
        </w:rPr>
      </w:pPr>
    </w:p>
    <w:p w:rsidR="00857A38" w:rsidRPr="00253866" w:rsidRDefault="00857A38" w:rsidP="004E469B">
      <w:pPr>
        <w:pStyle w:val="ListParagraph"/>
        <w:numPr>
          <w:ilvl w:val="1"/>
          <w:numId w:val="35"/>
        </w:numPr>
        <w:shd w:val="clear" w:color="auto" w:fill="FFFFFF"/>
        <w:ind w:left="714" w:hanging="357"/>
        <w:contextualSpacing w:val="0"/>
        <w:rPr>
          <w:rFonts w:eastAsia="Times New Roman"/>
          <w:b/>
          <w:color w:val="365F91" w:themeColor="accent1" w:themeShade="BF"/>
        </w:rPr>
      </w:pPr>
    </w:p>
    <w:p w:rsidR="00554EE8" w:rsidRPr="00253866" w:rsidRDefault="008A1AB6" w:rsidP="004E469B">
      <w:pPr>
        <w:pStyle w:val="ListParagraph"/>
        <w:numPr>
          <w:ilvl w:val="2"/>
          <w:numId w:val="35"/>
        </w:numPr>
        <w:shd w:val="clear" w:color="auto" w:fill="FFFFFF"/>
        <w:spacing w:after="120"/>
        <w:ind w:left="720" w:firstLine="0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color w:val="000000"/>
        </w:rPr>
        <w:t>002.66</w:t>
      </w:r>
      <w:r w:rsidR="006E017F" w:rsidRPr="00253866">
        <w:rPr>
          <w:rFonts w:eastAsia="Times New Roman"/>
        </w:rPr>
        <w:t>(673)</w:t>
      </w:r>
      <w:r w:rsidR="00E67160">
        <w:rPr>
          <w:rFonts w:eastAsia="Times New Roman"/>
        </w:rPr>
        <w:t xml:space="preserve"> </w:t>
      </w:r>
      <w:r w:rsidRPr="00253866">
        <w:rPr>
          <w:rFonts w:eastAsia="Times New Roman"/>
        </w:rPr>
        <w:t>(</w:t>
      </w:r>
      <w:r w:rsidR="00CC7E19" w:rsidRPr="00253866">
        <w:rPr>
          <w:rFonts w:eastAsia="Times New Roman"/>
        </w:rPr>
        <w:t>06)</w:t>
      </w:r>
      <w:r w:rsidR="00E67160">
        <w:rPr>
          <w:rFonts w:eastAsia="Times New Roman"/>
        </w:rPr>
        <w:t xml:space="preserve"> </w:t>
      </w:r>
      <w:r w:rsidR="00CC7E19" w:rsidRPr="00253866">
        <w:rPr>
          <w:rFonts w:eastAsia="Times New Roman"/>
        </w:rPr>
        <w:t>(091</w:t>
      </w:r>
      <w:r w:rsidR="00873DDF">
        <w:rPr>
          <w:rFonts w:eastAsia="Times New Roman"/>
        </w:rPr>
        <w:t>)</w:t>
      </w:r>
      <w:r w:rsidR="004305CD" w:rsidRPr="00253866">
        <w:rPr>
          <w:rFonts w:eastAsia="Times New Roman"/>
        </w:rPr>
        <w:t xml:space="preserve"> </w:t>
      </w:r>
    </w:p>
    <w:p w:rsidR="00857A38" w:rsidRPr="00253866" w:rsidRDefault="00F02028" w:rsidP="004E469B">
      <w:pPr>
        <w:pStyle w:val="ListParagraph"/>
        <w:numPr>
          <w:ilvl w:val="2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color w:val="000000"/>
        </w:rPr>
        <w:t>159.9.019</w:t>
      </w:r>
      <w:r w:rsidR="004305CD" w:rsidRPr="00253866">
        <w:rPr>
          <w:rFonts w:eastAsia="Times New Roman"/>
          <w:color w:val="000000"/>
        </w:rPr>
        <w:t>(0</w:t>
      </w:r>
      <w:r w:rsidR="008A1AB6" w:rsidRPr="00253866">
        <w:rPr>
          <w:rFonts w:eastAsia="Times New Roman"/>
          <w:color w:val="000000"/>
        </w:rPr>
        <w:t>75.8</w:t>
      </w:r>
      <w:r w:rsidR="004305CD" w:rsidRPr="00253866">
        <w:rPr>
          <w:rFonts w:eastAsia="Times New Roman"/>
          <w:color w:val="000000"/>
        </w:rPr>
        <w:t>)</w:t>
      </w:r>
      <w:r w:rsidR="00AB5CB5">
        <w:rPr>
          <w:rFonts w:eastAsia="Arial Unicode MS"/>
        </w:rPr>
        <w:t xml:space="preserve"> </w:t>
      </w:r>
    </w:p>
    <w:p w:rsidR="004305CD" w:rsidRPr="00253866" w:rsidRDefault="001D75DA" w:rsidP="004E469B">
      <w:pPr>
        <w:pStyle w:val="ListParagraph"/>
        <w:numPr>
          <w:ilvl w:val="2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color w:val="000000"/>
        </w:rPr>
        <w:t>328.18</w:t>
      </w:r>
      <w:r w:rsidR="00E67160">
        <w:rPr>
          <w:rFonts w:eastAsia="Times New Roman"/>
          <w:color w:val="000000"/>
        </w:rPr>
        <w:t xml:space="preserve"> </w:t>
      </w:r>
      <w:r w:rsidR="00947D5C" w:rsidRPr="00253866">
        <w:rPr>
          <w:rFonts w:eastAsia="Times New Roman"/>
          <w:color w:val="000000"/>
        </w:rPr>
        <w:t>(469)</w:t>
      </w:r>
      <w:r w:rsidR="00E67160">
        <w:rPr>
          <w:rFonts w:eastAsia="Times New Roman"/>
          <w:color w:val="000000"/>
        </w:rPr>
        <w:t xml:space="preserve"> </w:t>
      </w:r>
      <w:r w:rsidR="008A1AB6" w:rsidRPr="00253866">
        <w:rPr>
          <w:rFonts w:eastAsia="Times New Roman"/>
          <w:color w:val="000000"/>
        </w:rPr>
        <w:t>“1974/1999”</w:t>
      </w:r>
      <w:r w:rsidR="00E67160" w:rsidRPr="00E67160">
        <w:rPr>
          <w:rFonts w:eastAsia="Times New Roman"/>
          <w:color w:val="000000"/>
        </w:rPr>
        <w:t xml:space="preserve"> </w:t>
      </w:r>
      <w:r w:rsidR="00E67160">
        <w:rPr>
          <w:rFonts w:eastAsia="Times New Roman"/>
          <w:color w:val="000000"/>
        </w:rPr>
        <w:t>(</w:t>
      </w:r>
      <w:r w:rsidR="00E67160" w:rsidRPr="00253866">
        <w:rPr>
          <w:rFonts w:eastAsia="Times New Roman"/>
          <w:color w:val="000000"/>
        </w:rPr>
        <w:t>043</w:t>
      </w:r>
      <w:r w:rsidR="00E67160">
        <w:rPr>
          <w:rFonts w:eastAsia="Times New Roman"/>
          <w:color w:val="000000"/>
        </w:rPr>
        <w:t xml:space="preserve">) </w:t>
      </w:r>
      <w:r w:rsidR="00947D5C" w:rsidRPr="00253866">
        <w:rPr>
          <w:rFonts w:eastAsia="Times New Roman"/>
          <w:color w:val="000000"/>
        </w:rPr>
        <w:t>(0.034)</w:t>
      </w:r>
    </w:p>
    <w:p w:rsidR="00857A38" w:rsidRPr="00253866" w:rsidRDefault="001D75DA" w:rsidP="004E469B">
      <w:pPr>
        <w:pStyle w:val="ListParagraph"/>
        <w:numPr>
          <w:ilvl w:val="2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color w:val="000000"/>
        </w:rPr>
        <w:t>581.5(6</w:t>
      </w:r>
      <w:r w:rsidR="00A13668" w:rsidRPr="00253866">
        <w:rPr>
          <w:rFonts w:eastAsia="Times New Roman"/>
          <w:color w:val="000000"/>
        </w:rPr>
        <w:t>-13</w:t>
      </w:r>
      <w:r w:rsidRPr="00253866">
        <w:rPr>
          <w:rFonts w:eastAsia="Times New Roman"/>
          <w:color w:val="000000"/>
        </w:rPr>
        <w:t>)</w:t>
      </w:r>
      <w:r w:rsidR="00E67160">
        <w:rPr>
          <w:rFonts w:eastAsia="Times New Roman"/>
          <w:color w:val="000000"/>
        </w:rPr>
        <w:t xml:space="preserve"> </w:t>
      </w:r>
      <w:r w:rsidR="00A13668" w:rsidRPr="00253866">
        <w:rPr>
          <w:rFonts w:eastAsia="Times New Roman"/>
          <w:color w:val="000000"/>
        </w:rPr>
        <w:t>(086.8)</w:t>
      </w:r>
      <w:r w:rsidR="00AB5CB5">
        <w:rPr>
          <w:rFonts w:eastAsia="Arial Unicode MS"/>
        </w:rPr>
        <w:t xml:space="preserve"> </w:t>
      </w:r>
    </w:p>
    <w:p w:rsidR="00857A38" w:rsidRPr="00253866" w:rsidRDefault="00CC7E19" w:rsidP="004E469B">
      <w:pPr>
        <w:pStyle w:val="ListParagraph"/>
        <w:numPr>
          <w:ilvl w:val="2"/>
          <w:numId w:val="35"/>
        </w:numPr>
        <w:shd w:val="clear" w:color="auto" w:fill="FFFFFF"/>
        <w:spacing w:before="120" w:after="120"/>
        <w:ind w:left="709" w:firstLine="11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</w:rPr>
        <w:t>781.93</w:t>
      </w:r>
      <w:r w:rsidR="00E67160">
        <w:rPr>
          <w:rFonts w:eastAsia="Times New Roman"/>
        </w:rPr>
        <w:t xml:space="preserve"> </w:t>
      </w:r>
      <w:r w:rsidRPr="00253866">
        <w:rPr>
          <w:rFonts w:eastAsia="Times New Roman"/>
        </w:rPr>
        <w:t>(=1:44)</w:t>
      </w:r>
      <w:r w:rsidR="00A32E32" w:rsidRPr="00253866">
        <w:rPr>
          <w:rFonts w:eastAsia="Times New Roman"/>
        </w:rPr>
        <w:t>”16”</w:t>
      </w:r>
      <w:r w:rsidR="00AB5CB5">
        <w:rPr>
          <w:rFonts w:eastAsia="Arial Unicode MS"/>
        </w:rPr>
        <w:t xml:space="preserve"> </w:t>
      </w:r>
    </w:p>
    <w:p w:rsidR="00857A38" w:rsidRPr="00253866" w:rsidRDefault="00857A38" w:rsidP="00635441">
      <w:pPr>
        <w:pStyle w:val="ListParagraph"/>
        <w:numPr>
          <w:ilvl w:val="0"/>
          <w:numId w:val="35"/>
        </w:numPr>
        <w:shd w:val="clear" w:color="auto" w:fill="FFFFFF"/>
        <w:spacing w:before="360"/>
        <w:ind w:left="357" w:hanging="357"/>
        <w:contextualSpacing w:val="0"/>
        <w:jc w:val="both"/>
        <w:rPr>
          <w:rFonts w:eastAsia="Times New Roman"/>
          <w:b/>
          <w:color w:val="365F91" w:themeColor="accent1" w:themeShade="BF"/>
        </w:rPr>
      </w:pPr>
    </w:p>
    <w:p w:rsidR="00857A38" w:rsidRPr="00253866" w:rsidRDefault="00F052B1" w:rsidP="00635441">
      <w:pPr>
        <w:pStyle w:val="ListParagraph"/>
        <w:numPr>
          <w:ilvl w:val="1"/>
          <w:numId w:val="35"/>
        </w:numPr>
        <w:shd w:val="clear" w:color="auto" w:fill="FFFFFF"/>
        <w:spacing w:after="240"/>
        <w:ind w:left="714" w:hanging="357"/>
        <w:contextualSpacing w:val="0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color w:val="000000"/>
        </w:rPr>
        <w:br/>
        <w:t>28 QUESTÕES SOCIAIS</w:t>
      </w:r>
      <w:r w:rsidRPr="00253866">
        <w:rPr>
          <w:rFonts w:eastAsia="Times New Roman"/>
          <w:color w:val="000000"/>
        </w:rPr>
        <w:br/>
        <w:t>52 MEIO AMBIENTE</w:t>
      </w:r>
    </w:p>
    <w:p w:rsidR="006567ED" w:rsidRPr="00253866" w:rsidRDefault="00AF4C66" w:rsidP="00AF4C66">
      <w:pPr>
        <w:pStyle w:val="ListParagraph"/>
        <w:numPr>
          <w:ilvl w:val="1"/>
          <w:numId w:val="35"/>
        </w:numPr>
        <w:shd w:val="clear" w:color="auto" w:fill="FFFFFF"/>
        <w:spacing w:after="120"/>
        <w:ind w:left="714" w:hanging="357"/>
        <w:contextualSpacing w:val="0"/>
        <w:rPr>
          <w:rFonts w:eastAsia="Times New Roman"/>
          <w:b/>
          <w:color w:val="365F91" w:themeColor="accent1" w:themeShade="BF"/>
        </w:rPr>
      </w:pPr>
      <w:r>
        <w:rPr>
          <w:rFonts w:eastAsia="Times New Roman"/>
        </w:rPr>
        <w:br/>
      </w:r>
      <w:r w:rsidR="006567ED" w:rsidRPr="00253866">
        <w:rPr>
          <w:rFonts w:eastAsia="Times New Roman"/>
        </w:rPr>
        <w:t>3606 ciências naturais e aplicadas</w:t>
      </w:r>
      <w:r w:rsidR="006567ED" w:rsidRPr="00253866">
        <w:rPr>
          <w:rFonts w:eastAsia="Times New Roman"/>
        </w:rPr>
        <w:br/>
        <w:t>3611 ciências humanas</w:t>
      </w:r>
    </w:p>
    <w:p w:rsidR="006567ED" w:rsidRPr="00253866" w:rsidRDefault="006567ED" w:rsidP="00AF4C66">
      <w:pPr>
        <w:pStyle w:val="ListParagraph"/>
        <w:numPr>
          <w:ilvl w:val="1"/>
          <w:numId w:val="35"/>
        </w:numPr>
        <w:shd w:val="clear" w:color="auto" w:fill="FFFFFF"/>
        <w:spacing w:after="120"/>
        <w:ind w:left="714" w:hanging="357"/>
        <w:contextualSpacing w:val="0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b/>
        </w:rPr>
        <w:t>Descritores</w:t>
      </w:r>
      <w:r w:rsidRPr="00253866">
        <w:rPr>
          <w:rFonts w:eastAsia="Times New Roman"/>
        </w:rPr>
        <w:t>: Delito económico, Liquidação de sociedade comercial, Portugal, Suporte óptico</w:t>
      </w:r>
      <w:r w:rsidRPr="00253866">
        <w:rPr>
          <w:rFonts w:eastAsia="Times New Roman"/>
          <w:b/>
          <w:color w:val="365F91" w:themeColor="accent1" w:themeShade="BF"/>
        </w:rPr>
        <w:t xml:space="preserve"> </w:t>
      </w:r>
    </w:p>
    <w:p w:rsidR="006567ED" w:rsidRPr="00253866" w:rsidRDefault="00545730" w:rsidP="00AF4C66">
      <w:pPr>
        <w:pStyle w:val="ListParagraph"/>
        <w:numPr>
          <w:ilvl w:val="1"/>
          <w:numId w:val="35"/>
        </w:numPr>
        <w:shd w:val="clear" w:color="auto" w:fill="FFFFFF"/>
        <w:spacing w:before="360" w:after="120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b/>
        </w:rPr>
        <w:t>Descritores</w:t>
      </w:r>
      <w:r w:rsidRPr="00253866">
        <w:rPr>
          <w:rFonts w:eastAsia="Times New Roman"/>
        </w:rPr>
        <w:t>. África lusófona, Política da pesca, Restrição à exportação</w:t>
      </w:r>
    </w:p>
    <w:p w:rsidR="007C724B" w:rsidRPr="00253866" w:rsidRDefault="00253866" w:rsidP="00AF4C66">
      <w:pPr>
        <w:pStyle w:val="ListParagraph"/>
        <w:numPr>
          <w:ilvl w:val="1"/>
          <w:numId w:val="35"/>
        </w:numPr>
        <w:shd w:val="clear" w:color="auto" w:fill="FFFFFF"/>
        <w:spacing w:before="360" w:after="120"/>
        <w:contextualSpacing w:val="0"/>
        <w:jc w:val="both"/>
        <w:rPr>
          <w:rFonts w:eastAsia="Times New Roman"/>
          <w:b/>
          <w:color w:val="365F91" w:themeColor="accent1" w:themeShade="BF"/>
        </w:rPr>
      </w:pPr>
      <w:r w:rsidRPr="00253866">
        <w:rPr>
          <w:rFonts w:eastAsia="Times New Roman"/>
          <w:b/>
        </w:rPr>
        <w:t xml:space="preserve">Descritores: </w:t>
      </w:r>
      <w:r w:rsidR="00247105">
        <w:rPr>
          <w:rFonts w:eastAsia="Times New Roman"/>
          <w:b/>
        </w:rPr>
        <w:t>A</w:t>
      </w:r>
      <w:r w:rsidR="00247105" w:rsidRPr="00247105">
        <w:rPr>
          <w:rFonts w:eastAsia="Times New Roman"/>
        </w:rPr>
        <w:t>justamento salarial</w:t>
      </w:r>
      <w:r w:rsidR="00545730" w:rsidRPr="00253866">
        <w:rPr>
          <w:rFonts w:eastAsia="Times New Roman"/>
        </w:rPr>
        <w:t xml:space="preserve">, </w:t>
      </w:r>
      <w:r w:rsidRPr="00253866">
        <w:rPr>
          <w:rFonts w:eastAsia="Times New Roman"/>
        </w:rPr>
        <w:t>C</w:t>
      </w:r>
      <w:r w:rsidR="00545730" w:rsidRPr="00253866">
        <w:rPr>
          <w:rFonts w:eastAsia="Times New Roman"/>
        </w:rPr>
        <w:t>usto de vida</w:t>
      </w:r>
      <w:r w:rsidRPr="00253866">
        <w:rPr>
          <w:rFonts w:eastAsia="Times New Roman"/>
        </w:rPr>
        <w:t xml:space="preserve">, </w:t>
      </w:r>
      <w:r w:rsidR="00247105" w:rsidRPr="00253866">
        <w:rPr>
          <w:rFonts w:eastAsia="Times New Roman"/>
        </w:rPr>
        <w:t>Tese</w:t>
      </w:r>
      <w:r w:rsidR="00247105">
        <w:rPr>
          <w:rFonts w:eastAsia="Times New Roman"/>
        </w:rPr>
        <w:t xml:space="preserve">, </w:t>
      </w:r>
      <w:r w:rsidRPr="00253866">
        <w:rPr>
          <w:rFonts w:eastAsia="Times New Roman"/>
        </w:rPr>
        <w:t xml:space="preserve">Estado-Membro </w:t>
      </w:r>
      <w:r w:rsidR="00247105">
        <w:rPr>
          <w:rFonts w:eastAsia="Times New Roman"/>
        </w:rPr>
        <w:t xml:space="preserve">EU, </w:t>
      </w:r>
    </w:p>
    <w:p w:rsidR="00B6474E" w:rsidRDefault="00B6474E">
      <w:pPr>
        <w:rPr>
          <w:b/>
          <w:bCs/>
        </w:rPr>
      </w:pPr>
      <w:r>
        <w:rPr>
          <w:b/>
          <w:bCs/>
        </w:rPr>
        <w:br w:type="page"/>
      </w: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lastRenderedPageBreak/>
        <w:t>Bibliografia</w:t>
      </w:r>
    </w:p>
    <w:p w:rsidR="00DC0F2F" w:rsidRDefault="00AB5CB5" w:rsidP="00DC0F2F">
      <w:pPr>
        <w:pStyle w:val="Bibliography"/>
        <w:ind w:left="720" w:hanging="720"/>
        <w:rPr>
          <w:noProof/>
        </w:rPr>
      </w:pPr>
      <w:r>
        <w:rPr>
          <w:lang w:val="en-US"/>
        </w:rPr>
        <w:fldChar w:fldCharType="begin"/>
      </w:r>
      <w:r>
        <w:instrText xml:space="preserve"> BIBLIOGRAPHY  \l 2070 </w:instrText>
      </w:r>
      <w:r>
        <w:rPr>
          <w:lang w:val="en-US"/>
        </w:rPr>
        <w:fldChar w:fldCharType="separate"/>
      </w:r>
      <w:r w:rsidR="00DC0F2F">
        <w:rPr>
          <w:i/>
          <w:iCs/>
          <w:noProof/>
        </w:rPr>
        <w:t>EUROVOC : thesaurus multilingue da União Europeia.</w:t>
      </w:r>
      <w:r w:rsidR="00DC0F2F">
        <w:rPr>
          <w:noProof/>
        </w:rPr>
        <w:t xml:space="preserve"> s.d. http://eurovoc.europa.eu/ (acedido em 2011-12-18).</w:t>
      </w:r>
    </w:p>
    <w:p w:rsidR="00DC0F2F" w:rsidRDefault="00DC0F2F" w:rsidP="00DC0F2F">
      <w:pPr>
        <w:pStyle w:val="Bibliography"/>
        <w:ind w:left="720" w:hanging="720"/>
        <w:rPr>
          <w:noProof/>
        </w:rPr>
      </w:pPr>
      <w:r>
        <w:rPr>
          <w:noProof/>
        </w:rPr>
        <w:t xml:space="preserve">GIL URDICIAIN, Blanca. </w:t>
      </w:r>
      <w:r>
        <w:rPr>
          <w:i/>
          <w:iCs/>
          <w:noProof/>
        </w:rPr>
        <w:t>Manual de lenguajes documentales.</w:t>
      </w:r>
      <w:r>
        <w:rPr>
          <w:noProof/>
        </w:rPr>
        <w:t xml:space="preserve"> Gijón: Ediciones Trea, 2004.</w:t>
      </w:r>
    </w:p>
    <w:p w:rsidR="00DC0F2F" w:rsidRDefault="00DC0F2F" w:rsidP="00DC0F2F">
      <w:pPr>
        <w:pStyle w:val="Bibliography"/>
        <w:ind w:left="720" w:hanging="720"/>
        <w:rPr>
          <w:noProof/>
        </w:rPr>
      </w:pPr>
      <w:r>
        <w:rPr>
          <w:noProof/>
        </w:rPr>
        <w:t xml:space="preserve">SIMÕES, Maria da Graça. </w:t>
      </w:r>
      <w:r>
        <w:rPr>
          <w:i/>
          <w:iCs/>
          <w:noProof/>
        </w:rPr>
        <w:t>Classificação Decimal Universal : Fundamentos e Procedimentos.</w:t>
      </w:r>
      <w:r>
        <w:rPr>
          <w:noProof/>
        </w:rPr>
        <w:t xml:space="preserve"> Lisboa: Almedina, 2008.</w:t>
      </w:r>
    </w:p>
    <w:p w:rsidR="00DC0F2F" w:rsidRDefault="00DC0F2F" w:rsidP="00DC0F2F">
      <w:pPr>
        <w:pStyle w:val="Bibliography"/>
        <w:ind w:left="720" w:hanging="720"/>
        <w:rPr>
          <w:noProof/>
        </w:rPr>
      </w:pPr>
      <w:r>
        <w:rPr>
          <w:i/>
          <w:iCs/>
          <w:noProof/>
        </w:rPr>
        <w:t>UDC Consortium.</w:t>
      </w:r>
      <w:r>
        <w:rPr>
          <w:noProof/>
        </w:rPr>
        <w:t xml:space="preserve"> s.d. http://www.udcc.org/ (acedido em 2011-12-18).</w:t>
      </w:r>
    </w:p>
    <w:p w:rsidR="009B41C9" w:rsidRPr="002A6463" w:rsidRDefault="00AB5CB5" w:rsidP="00DC0F2F">
      <w:pPr>
        <w:ind w:left="709" w:hanging="709"/>
      </w:pPr>
      <w:r>
        <w:rPr>
          <w:lang w:val="en-US"/>
        </w:rPr>
        <w:fldChar w:fldCharType="end"/>
      </w:r>
    </w:p>
    <w:p w:rsidR="002A6463" w:rsidRDefault="002A6463" w:rsidP="00DC0F2F">
      <w:pPr>
        <w:ind w:left="709" w:hanging="709"/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850"/>
        <w:gridCol w:w="1560"/>
        <w:gridCol w:w="4110"/>
      </w:tblGrid>
      <w:tr w:rsidR="002A6463" w:rsidTr="002A6463">
        <w:tc>
          <w:tcPr>
            <w:tcW w:w="1149" w:type="dxa"/>
            <w:vAlign w:val="center"/>
            <w:hideMark/>
          </w:tcPr>
          <w:p w:rsidR="002A6463" w:rsidRDefault="002A6463" w:rsidP="002A6463">
            <w:pPr>
              <w:ind w:firstLine="0"/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Item Notas</w:t>
            </w:r>
          </w:p>
        </w:tc>
        <w:tc>
          <w:tcPr>
            <w:tcW w:w="1418" w:type="dxa"/>
            <w:vAlign w:val="center"/>
            <w:hideMark/>
          </w:tcPr>
          <w:p w:rsidR="002A6463" w:rsidRDefault="002A6463" w:rsidP="002A6463">
            <w:pPr>
              <w:ind w:firstLine="52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Área</w:t>
            </w:r>
          </w:p>
        </w:tc>
        <w:tc>
          <w:tcPr>
            <w:tcW w:w="850" w:type="dxa"/>
            <w:vAlign w:val="center"/>
            <w:hideMark/>
          </w:tcPr>
          <w:p w:rsidR="002A6463" w:rsidRDefault="002A6463" w:rsidP="002A6463">
            <w:pPr>
              <w:ind w:right="-440" w:firstLine="6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560" w:type="dxa"/>
            <w:vAlign w:val="center"/>
            <w:hideMark/>
          </w:tcPr>
          <w:p w:rsidR="002A6463" w:rsidRDefault="002A6463" w:rsidP="002A6463">
            <w:pPr>
              <w:ind w:hanging="8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4110" w:type="dxa"/>
            <w:vAlign w:val="center"/>
            <w:hideMark/>
          </w:tcPr>
          <w:p w:rsidR="002A6463" w:rsidRDefault="002A6463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</w:p>
        </w:tc>
      </w:tr>
      <w:tr w:rsidR="002A6463" w:rsidTr="002A6463">
        <w:tc>
          <w:tcPr>
            <w:tcW w:w="1149" w:type="dxa"/>
            <w:hideMark/>
          </w:tcPr>
          <w:p w:rsidR="002A6463" w:rsidRDefault="002A6463" w:rsidP="002A6463">
            <w:pPr>
              <w:ind w:firstLine="0"/>
              <w:rPr>
                <w:rFonts w:ascii="Trebuchet MS" w:hAnsi="Trebuchet MS" w:cs="Arial"/>
                <w:color w:val="000000"/>
              </w:rPr>
            </w:pPr>
            <w:hyperlink r:id="rId9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085044F3" wp14:editId="0A71D714">
                    <wp:extent cx="152400" cy="152400"/>
                    <wp:effectExtent l="0" t="0" r="0" b="0"/>
                    <wp:docPr id="4" name="Picture 4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E-fólio B</w:t>
              </w:r>
            </w:hyperlink>
          </w:p>
        </w:tc>
        <w:tc>
          <w:tcPr>
            <w:tcW w:w="1418" w:type="dxa"/>
            <w:hideMark/>
          </w:tcPr>
          <w:p w:rsidR="002A6463" w:rsidRDefault="002A6463" w:rsidP="002A6463">
            <w:pPr>
              <w:ind w:firstLine="0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850" w:type="dxa"/>
            <w:hideMark/>
          </w:tcPr>
          <w:p w:rsidR="002A6463" w:rsidRDefault="002A6463" w:rsidP="002A6463">
            <w:pPr>
              <w:ind w:firstLine="0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3,10</w:t>
            </w:r>
          </w:p>
        </w:tc>
        <w:tc>
          <w:tcPr>
            <w:tcW w:w="1560" w:type="dxa"/>
            <w:hideMark/>
          </w:tcPr>
          <w:p w:rsidR="002A6463" w:rsidRDefault="002A6463" w:rsidP="002A6463">
            <w:pPr>
              <w:ind w:firstLine="0"/>
              <w:rPr>
                <w:rFonts w:ascii="Trebuchet MS" w:hAnsi="Trebuchet MS" w:cs="Arial"/>
                <w:color w:val="000000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77,50 %</w:t>
            </w:r>
          </w:p>
        </w:tc>
        <w:tc>
          <w:tcPr>
            <w:tcW w:w="4110" w:type="dxa"/>
            <w:hideMark/>
          </w:tcPr>
          <w:p w:rsidR="002A6463" w:rsidRDefault="002A6463" w:rsidP="002A6463">
            <w:pPr>
              <w:spacing w:after="200"/>
              <w:ind w:firstLine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Parabéns! Os </w:t>
            </w:r>
            <w:r>
              <w:rPr>
                <w:rFonts w:ascii="Calibri" w:hAnsi="Calibri" w:cs="Calibri"/>
                <w:color w:val="000000"/>
              </w:rPr>
              <w:t>objectivos</w:t>
            </w:r>
            <w:r>
              <w:rPr>
                <w:rFonts w:ascii="Calibri" w:hAnsi="Calibri" w:cs="Calibri"/>
                <w:color w:val="000000"/>
              </w:rPr>
              <w:t xml:space="preserve"> desta </w:t>
            </w:r>
            <w:r>
              <w:rPr>
                <w:rFonts w:ascii="Calibri" w:hAnsi="Calibri" w:cs="Calibri"/>
                <w:color w:val="000000"/>
              </w:rPr>
              <w:t>actividade</w:t>
            </w:r>
            <w:r>
              <w:rPr>
                <w:rFonts w:ascii="Calibri" w:hAnsi="Calibri" w:cs="Calibri"/>
                <w:color w:val="000000"/>
              </w:rPr>
              <w:t xml:space="preserve"> foram atingidos. Na questão 1a) deverá rever as definições dos conceitos e o modo como foram explicad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os.</w:t>
            </w:r>
          </w:p>
        </w:tc>
      </w:tr>
    </w:tbl>
    <w:p w:rsidR="002A6463" w:rsidRPr="002A6463" w:rsidRDefault="002A6463" w:rsidP="00DC0F2F">
      <w:pPr>
        <w:ind w:left="709" w:hanging="709"/>
      </w:pPr>
    </w:p>
    <w:sectPr w:rsidR="002A6463" w:rsidRPr="002A6463" w:rsidSect="00083FCE"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3A" w:rsidRDefault="0046563A" w:rsidP="002771C8">
      <w:pPr>
        <w:spacing w:line="240" w:lineRule="auto"/>
      </w:pPr>
      <w:r>
        <w:separator/>
      </w:r>
    </w:p>
  </w:endnote>
  <w:endnote w:type="continuationSeparator" w:id="0">
    <w:p w:rsidR="0046563A" w:rsidRDefault="0046563A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D854BD">
      <w:rPr>
        <w:noProof/>
      </w:rPr>
      <w:t>5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r w:rsidR="0046563A">
      <w:fldChar w:fldCharType="begin"/>
    </w:r>
    <w:r w:rsidR="0046563A">
      <w:instrText xml:space="preserve"> NUMPAGES  \* Arabic  \* MERGEFORMAT </w:instrText>
    </w:r>
    <w:r w:rsidR="0046563A">
      <w:fldChar w:fldCharType="separate"/>
    </w:r>
    <w:r w:rsidR="00D854BD">
      <w:rPr>
        <w:noProof/>
      </w:rPr>
      <w:t>5</w:t>
    </w:r>
    <w:r w:rsidR="004656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3A" w:rsidRDefault="0046563A" w:rsidP="002771C8">
      <w:pPr>
        <w:spacing w:line="240" w:lineRule="auto"/>
      </w:pPr>
      <w:r>
        <w:separator/>
      </w:r>
    </w:p>
  </w:footnote>
  <w:footnote w:type="continuationSeparator" w:id="0">
    <w:p w:rsidR="0046563A" w:rsidRDefault="0046563A" w:rsidP="002771C8">
      <w:pPr>
        <w:spacing w:line="240" w:lineRule="auto"/>
      </w:pPr>
      <w:r>
        <w:continuationSeparator/>
      </w:r>
    </w:p>
  </w:footnote>
  <w:footnote w:id="1">
    <w:p w:rsidR="00C86D15" w:rsidRDefault="00C86D15">
      <w:pPr>
        <w:pStyle w:val="FootnoteText"/>
      </w:pPr>
      <w:r>
        <w:rPr>
          <w:rStyle w:val="FootnoteReference"/>
        </w:rPr>
        <w:footnoteRef/>
      </w:r>
      <w:r>
        <w:t xml:space="preserve"> Simões, 2008:2</w:t>
      </w:r>
      <w:r w:rsidR="00505B21">
        <w:t>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1D9D"/>
    <w:rsid w:val="00021990"/>
    <w:rsid w:val="00023E21"/>
    <w:rsid w:val="0003368F"/>
    <w:rsid w:val="00034C15"/>
    <w:rsid w:val="00036C0F"/>
    <w:rsid w:val="00083FCE"/>
    <w:rsid w:val="0009796D"/>
    <w:rsid w:val="000A11D9"/>
    <w:rsid w:val="000C4300"/>
    <w:rsid w:val="000D24ED"/>
    <w:rsid w:val="000F2E3C"/>
    <w:rsid w:val="000F3C46"/>
    <w:rsid w:val="00106FE8"/>
    <w:rsid w:val="0014635A"/>
    <w:rsid w:val="00175825"/>
    <w:rsid w:val="0017781B"/>
    <w:rsid w:val="001D4136"/>
    <w:rsid w:val="001D75DA"/>
    <w:rsid w:val="001E16F4"/>
    <w:rsid w:val="002059F5"/>
    <w:rsid w:val="00211F99"/>
    <w:rsid w:val="00227617"/>
    <w:rsid w:val="00233FF6"/>
    <w:rsid w:val="00247105"/>
    <w:rsid w:val="00247E2D"/>
    <w:rsid w:val="00253866"/>
    <w:rsid w:val="002576A7"/>
    <w:rsid w:val="002771C8"/>
    <w:rsid w:val="00293295"/>
    <w:rsid w:val="002A6463"/>
    <w:rsid w:val="002A793C"/>
    <w:rsid w:val="002B1541"/>
    <w:rsid w:val="002C4990"/>
    <w:rsid w:val="002D2ED1"/>
    <w:rsid w:val="002F11BE"/>
    <w:rsid w:val="00304FEB"/>
    <w:rsid w:val="003336B5"/>
    <w:rsid w:val="0034474A"/>
    <w:rsid w:val="003C29C4"/>
    <w:rsid w:val="003D2E68"/>
    <w:rsid w:val="003D6F06"/>
    <w:rsid w:val="00427B7C"/>
    <w:rsid w:val="004305CD"/>
    <w:rsid w:val="00432DA8"/>
    <w:rsid w:val="00442054"/>
    <w:rsid w:val="004627DC"/>
    <w:rsid w:val="00463DBF"/>
    <w:rsid w:val="0046563A"/>
    <w:rsid w:val="00483F34"/>
    <w:rsid w:val="00495B46"/>
    <w:rsid w:val="004B498E"/>
    <w:rsid w:val="004C5B17"/>
    <w:rsid w:val="004E2029"/>
    <w:rsid w:val="004E469B"/>
    <w:rsid w:val="004F1F73"/>
    <w:rsid w:val="00505B21"/>
    <w:rsid w:val="00543AE2"/>
    <w:rsid w:val="00544508"/>
    <w:rsid w:val="00544ACB"/>
    <w:rsid w:val="00545730"/>
    <w:rsid w:val="00553C55"/>
    <w:rsid w:val="00554EE8"/>
    <w:rsid w:val="005636EF"/>
    <w:rsid w:val="005661F4"/>
    <w:rsid w:val="00572C03"/>
    <w:rsid w:val="00594073"/>
    <w:rsid w:val="005A1C51"/>
    <w:rsid w:val="005C2A84"/>
    <w:rsid w:val="005D084A"/>
    <w:rsid w:val="00606C5A"/>
    <w:rsid w:val="00616EC8"/>
    <w:rsid w:val="0062079F"/>
    <w:rsid w:val="00626159"/>
    <w:rsid w:val="00635441"/>
    <w:rsid w:val="006567ED"/>
    <w:rsid w:val="00671CAC"/>
    <w:rsid w:val="006755B0"/>
    <w:rsid w:val="00693F6C"/>
    <w:rsid w:val="006B3AB1"/>
    <w:rsid w:val="006B6593"/>
    <w:rsid w:val="006C38A0"/>
    <w:rsid w:val="006D2F16"/>
    <w:rsid w:val="006E017F"/>
    <w:rsid w:val="006F360F"/>
    <w:rsid w:val="006F3895"/>
    <w:rsid w:val="007008B2"/>
    <w:rsid w:val="00705161"/>
    <w:rsid w:val="00723D88"/>
    <w:rsid w:val="0074568E"/>
    <w:rsid w:val="00757280"/>
    <w:rsid w:val="0076654F"/>
    <w:rsid w:val="00766BB8"/>
    <w:rsid w:val="00766F1F"/>
    <w:rsid w:val="007B13DF"/>
    <w:rsid w:val="007C28DB"/>
    <w:rsid w:val="007C724B"/>
    <w:rsid w:val="007C7F5C"/>
    <w:rsid w:val="007D6463"/>
    <w:rsid w:val="007E0701"/>
    <w:rsid w:val="007F07D7"/>
    <w:rsid w:val="007F5A94"/>
    <w:rsid w:val="007F6A07"/>
    <w:rsid w:val="00802696"/>
    <w:rsid w:val="00803C8C"/>
    <w:rsid w:val="00832D71"/>
    <w:rsid w:val="00853856"/>
    <w:rsid w:val="008571F3"/>
    <w:rsid w:val="00857A38"/>
    <w:rsid w:val="00873DDF"/>
    <w:rsid w:val="00897DC8"/>
    <w:rsid w:val="008A1AB6"/>
    <w:rsid w:val="008B706F"/>
    <w:rsid w:val="008E558C"/>
    <w:rsid w:val="008F71EC"/>
    <w:rsid w:val="0090125C"/>
    <w:rsid w:val="00901974"/>
    <w:rsid w:val="00927921"/>
    <w:rsid w:val="009319CE"/>
    <w:rsid w:val="00943ED0"/>
    <w:rsid w:val="00947D5C"/>
    <w:rsid w:val="00953F3F"/>
    <w:rsid w:val="00957C5D"/>
    <w:rsid w:val="009638EC"/>
    <w:rsid w:val="0097225E"/>
    <w:rsid w:val="00991E01"/>
    <w:rsid w:val="009A2310"/>
    <w:rsid w:val="009A371E"/>
    <w:rsid w:val="009B1135"/>
    <w:rsid w:val="009B41C9"/>
    <w:rsid w:val="009B63C4"/>
    <w:rsid w:val="009D5BCB"/>
    <w:rsid w:val="009E2746"/>
    <w:rsid w:val="00A13668"/>
    <w:rsid w:val="00A30AB8"/>
    <w:rsid w:val="00A32E32"/>
    <w:rsid w:val="00A339D3"/>
    <w:rsid w:val="00A651DF"/>
    <w:rsid w:val="00A82C6D"/>
    <w:rsid w:val="00A90A4C"/>
    <w:rsid w:val="00AB5CB5"/>
    <w:rsid w:val="00AC006F"/>
    <w:rsid w:val="00AD1615"/>
    <w:rsid w:val="00AD1E44"/>
    <w:rsid w:val="00AD400A"/>
    <w:rsid w:val="00AE2B36"/>
    <w:rsid w:val="00AF4C66"/>
    <w:rsid w:val="00B26C71"/>
    <w:rsid w:val="00B33074"/>
    <w:rsid w:val="00B42BB0"/>
    <w:rsid w:val="00B6474E"/>
    <w:rsid w:val="00B80F2E"/>
    <w:rsid w:val="00B80FAC"/>
    <w:rsid w:val="00B85988"/>
    <w:rsid w:val="00B96F1A"/>
    <w:rsid w:val="00BB6CAA"/>
    <w:rsid w:val="00BC13C5"/>
    <w:rsid w:val="00BF24C5"/>
    <w:rsid w:val="00C27AA5"/>
    <w:rsid w:val="00C3273D"/>
    <w:rsid w:val="00C51417"/>
    <w:rsid w:val="00C8288A"/>
    <w:rsid w:val="00C86D15"/>
    <w:rsid w:val="00CB308E"/>
    <w:rsid w:val="00CC08F4"/>
    <w:rsid w:val="00CC565F"/>
    <w:rsid w:val="00CC7E19"/>
    <w:rsid w:val="00CF2B9C"/>
    <w:rsid w:val="00CF7990"/>
    <w:rsid w:val="00D107FB"/>
    <w:rsid w:val="00D126E6"/>
    <w:rsid w:val="00D14109"/>
    <w:rsid w:val="00D14E46"/>
    <w:rsid w:val="00D20425"/>
    <w:rsid w:val="00D63208"/>
    <w:rsid w:val="00D838E2"/>
    <w:rsid w:val="00D83CB1"/>
    <w:rsid w:val="00D854BD"/>
    <w:rsid w:val="00D927E2"/>
    <w:rsid w:val="00DB7CFA"/>
    <w:rsid w:val="00DC0F2F"/>
    <w:rsid w:val="00DC2D63"/>
    <w:rsid w:val="00DC4B13"/>
    <w:rsid w:val="00DC4CB5"/>
    <w:rsid w:val="00DD0A89"/>
    <w:rsid w:val="00DD7021"/>
    <w:rsid w:val="00E0736F"/>
    <w:rsid w:val="00E11B6E"/>
    <w:rsid w:val="00E120DB"/>
    <w:rsid w:val="00E36CC4"/>
    <w:rsid w:val="00E41A6C"/>
    <w:rsid w:val="00E517AD"/>
    <w:rsid w:val="00E67160"/>
    <w:rsid w:val="00E86691"/>
    <w:rsid w:val="00E91F80"/>
    <w:rsid w:val="00EA2C11"/>
    <w:rsid w:val="00EA6375"/>
    <w:rsid w:val="00EB327F"/>
    <w:rsid w:val="00EB6657"/>
    <w:rsid w:val="00F02028"/>
    <w:rsid w:val="00F052B1"/>
    <w:rsid w:val="00F309DD"/>
    <w:rsid w:val="00F33911"/>
    <w:rsid w:val="00F36D7B"/>
    <w:rsid w:val="00FA2FA6"/>
    <w:rsid w:val="00FA54D9"/>
    <w:rsid w:val="00FB1995"/>
    <w:rsid w:val="00FB1FE0"/>
    <w:rsid w:val="00FB5735"/>
    <w:rsid w:val="00FB6489"/>
    <w:rsid w:val="00FB6D46"/>
    <w:rsid w:val="00FC3B34"/>
    <w:rsid w:val="00FE5511"/>
    <w:rsid w:val="00FF0C9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customStyle="1" w:styleId="Default">
    <w:name w:val="Default"/>
    <w:rsid w:val="009B1135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paragraph" w:styleId="FootnoteText">
    <w:name w:val="footnote text"/>
    <w:basedOn w:val="Normal"/>
    <w:link w:val="FootnoteTextChar"/>
    <w:rsid w:val="00C86D1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6D15"/>
    <w:rPr>
      <w:sz w:val="20"/>
      <w:szCs w:val="20"/>
    </w:rPr>
  </w:style>
  <w:style w:type="character" w:styleId="FootnoteReference">
    <w:name w:val="footnote reference"/>
    <w:basedOn w:val="DefaultParagraphFont"/>
    <w:rsid w:val="00C86D15"/>
    <w:rPr>
      <w:vertAlign w:val="superscript"/>
    </w:rPr>
  </w:style>
  <w:style w:type="character" w:customStyle="1" w:styleId="gradeitem">
    <w:name w:val="gradeitem"/>
    <w:basedOn w:val="DefaultParagraphFont"/>
    <w:rsid w:val="002A6463"/>
  </w:style>
  <w:style w:type="character" w:customStyle="1" w:styleId="categoryitem2">
    <w:name w:val="categoryitem2"/>
    <w:basedOn w:val="DefaultParagraphFont"/>
    <w:rsid w:val="002A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customStyle="1" w:styleId="Default">
    <w:name w:val="Default"/>
    <w:rsid w:val="009B1135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paragraph" w:styleId="FootnoteText">
    <w:name w:val="footnote text"/>
    <w:basedOn w:val="Normal"/>
    <w:link w:val="FootnoteTextChar"/>
    <w:rsid w:val="00C86D1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6D15"/>
    <w:rPr>
      <w:sz w:val="20"/>
      <w:szCs w:val="20"/>
    </w:rPr>
  </w:style>
  <w:style w:type="character" w:styleId="FootnoteReference">
    <w:name w:val="footnote reference"/>
    <w:basedOn w:val="DefaultParagraphFont"/>
    <w:rsid w:val="00C86D15"/>
    <w:rPr>
      <w:vertAlign w:val="superscript"/>
    </w:rPr>
  </w:style>
  <w:style w:type="character" w:customStyle="1" w:styleId="gradeitem">
    <w:name w:val="gradeitem"/>
    <w:basedOn w:val="DefaultParagraphFont"/>
    <w:rsid w:val="002A6463"/>
  </w:style>
  <w:style w:type="character" w:customStyle="1" w:styleId="categoryitem2">
    <w:name w:val="categoryitem2"/>
    <w:basedOn w:val="DefaultParagraphFont"/>
    <w:rsid w:val="002A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1454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GIL04</b:Tag>
    <b:SourceType>Book</b:SourceType>
    <b:Guid>{8D7509BB-0B7C-4018-902D-8D4FE356B48C}</b:Guid>
    <b:Author>
      <b:Author>
        <b:NameList>
          <b:Person>
            <b:Last>GIL URDICIAIN</b:Last>
            <b:First>Blanca</b:First>
          </b:Person>
        </b:NameList>
      </b:Author>
    </b:Author>
    <b:Title>Manual de lenguajes documentales</b:Title>
    <b:Year>2004</b:Year>
    <b:City>Gijón</b:City>
    <b:Publisher>Ediciones Trea</b:Publisher>
    <b:StandardNumber>84-9704-138-0</b:StandardNumber>
    <b:Pages>280</b:Pages>
    <b:RefOrder>1</b:RefOrder>
  </b:Source>
  <b:Source>
    <b:Tag>SIM08</b:Tag>
    <b:SourceType>Book</b:SourceType>
    <b:Guid>{D9FB7489-AC46-47AB-9101-CD35BFD2BCD4}</b:Guid>
    <b:Author>
      <b:Author>
        <b:NameList>
          <b:Person>
            <b:Last>SIMÕES</b:Last>
            <b:First>Maria</b:First>
            <b:Middle>da Graça</b:Middle>
          </b:Person>
        </b:NameList>
      </b:Author>
    </b:Author>
    <b:Title>Classificação Decimal Universal : Fundamentos e Procedimentos</b:Title>
    <b:Year>2008</b:Year>
    <b:Publisher>Almedina</b:Publisher>
    <b:StandardNumber>978-972-40-3570-3</b:StandardNumber>
    <b:Pages>308</b:Pages>
    <b:City>Lisboa</b:City>
    <b:RefOrder>2</b:RefOrder>
  </b:Source>
  <b:Source>
    <b:Tag>UDC18</b:Tag>
    <b:SourceType>InternetSite</b:SourceType>
    <b:Guid>{F3BAEFB1-7FFD-49FD-8C3D-0FD4295FD69F}</b:Guid>
    <b:Title>UDC Consortium</b:Title>
    <b:YearAccessed>2011-12-18</b:YearAccessed>
    <b:URL>http://www.udcc.org/</b:URL>
    <b:RefOrder>3</b:RefOrder>
  </b:Source>
  <b:Source>
    <b:Tag>EUR18</b:Tag>
    <b:SourceType>InternetSite</b:SourceType>
    <b:Guid>{5AE48865-4A50-4223-A74F-C139F829D030}</b:Guid>
    <b:Title>EUROVOC : thesaurus multilingue da União Europeia</b:Title>
    <b:YearAccessed>2011-12-18</b:YearAccessed>
    <b:URL>http://eurovoc.europa.eu/</b:URL>
    <b:RefOrder>4</b:RefOrder>
  </b:Source>
</b:Sources>
</file>

<file path=customXml/itemProps1.xml><?xml version="1.0" encoding="utf-8"?>
<ds:datastoreItem xmlns:ds="http://schemas.openxmlformats.org/officeDocument/2006/customXml" ds:itemID="{1BB71AB1-1D08-4648-B819-DB945E7A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2012-01-11T00:31:00Z</cp:lastPrinted>
  <dcterms:created xsi:type="dcterms:W3CDTF">2012-01-11T00:29:00Z</dcterms:created>
  <dcterms:modified xsi:type="dcterms:W3CDTF">2012-01-11T00:31:00Z</dcterms:modified>
</cp:coreProperties>
</file>