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9" w:rsidRDefault="001E5B37" w:rsidP="00FF12F9">
      <w:pPr>
        <w:pStyle w:val="NormalWeb"/>
        <w:shd w:val="clear" w:color="auto" w:fill="FFFFFF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noProof/>
          <w:color w:val="000000"/>
        </w:rPr>
        <w:drawing>
          <wp:inline distT="0" distB="0" distL="0" distR="0">
            <wp:extent cx="575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F12F9" w:rsidTr="00C965C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9" w:rsidRPr="00C965C2" w:rsidRDefault="00FF12F9">
            <w:pPr>
              <w:rPr>
                <w:rFonts w:ascii="Trebuchet MS" w:hAnsi="Trebuchet MS"/>
                <w:b/>
              </w:rPr>
            </w:pPr>
          </w:p>
          <w:p w:rsidR="00FF12F9" w:rsidRPr="00C965C2" w:rsidRDefault="00FF12F9" w:rsidP="00C965C2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 xml:space="preserve">Nome: </w:t>
            </w:r>
            <w:r w:rsidR="00AD1739">
              <w:rPr>
                <w:rFonts w:ascii="Trebuchet MS" w:hAnsi="Trebuchet MS" w:cs="Arial"/>
                <w:b/>
              </w:rPr>
              <w:tab/>
            </w:r>
            <w:r w:rsidR="00AD1739">
              <w:rPr>
                <w:rFonts w:ascii="Trebuchet MS" w:hAnsi="Trebuchet MS" w:cs="Arial"/>
                <w:b/>
              </w:rPr>
              <w:tab/>
              <w:t>António José Estêvão Cabrita</w:t>
            </w:r>
          </w:p>
          <w:p w:rsidR="00FF12F9" w:rsidRPr="00C965C2" w:rsidRDefault="00FF12F9" w:rsidP="00C965C2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 xml:space="preserve">Nº de Estudante: </w:t>
            </w:r>
            <w:r w:rsidR="00AD1739">
              <w:rPr>
                <w:rFonts w:ascii="Trebuchet MS" w:hAnsi="Trebuchet MS" w:cs="Arial"/>
                <w:b/>
              </w:rPr>
              <w:tab/>
              <w:t xml:space="preserve">1002404 </w:t>
            </w:r>
          </w:p>
          <w:p w:rsidR="00FF12F9" w:rsidRPr="00C965C2" w:rsidRDefault="00FF12F9" w:rsidP="00C965C2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>Unidade Curricular:</w:t>
            </w:r>
            <w:r w:rsidR="00C965C2" w:rsidRPr="00C965C2">
              <w:rPr>
                <w:rFonts w:ascii="Trebuchet MS" w:hAnsi="Trebuchet MS" w:cs="Arial"/>
                <w:b/>
              </w:rPr>
              <w:t xml:space="preserve"> Recursos de Informação: Utilizadores e Serviços</w:t>
            </w:r>
            <w:r w:rsidR="00AD1739">
              <w:rPr>
                <w:rFonts w:ascii="Trebuchet MS" w:hAnsi="Trebuchet MS" w:cs="Arial"/>
                <w:b/>
              </w:rPr>
              <w:br/>
            </w:r>
            <w:r w:rsidRPr="00C965C2">
              <w:rPr>
                <w:rFonts w:ascii="Trebuchet MS" w:hAnsi="Trebuchet MS" w:cs="Arial"/>
                <w:b/>
              </w:rPr>
              <w:t>Código:</w:t>
            </w:r>
            <w:r w:rsidRPr="00C965C2">
              <w:rPr>
                <w:rFonts w:ascii="Trebuchet MS" w:hAnsi="Trebuchet MS" w:cs="Arial"/>
              </w:rPr>
              <w:t xml:space="preserve"> </w:t>
            </w:r>
            <w:r w:rsidR="00C965C2" w:rsidRPr="00C965C2">
              <w:rPr>
                <w:rFonts w:ascii="Trebuchet MS" w:hAnsi="Trebuchet MS" w:cs="Arial"/>
              </w:rPr>
              <w:t>51062</w:t>
            </w:r>
          </w:p>
          <w:p w:rsidR="00FF12F9" w:rsidRPr="00C30BB8" w:rsidRDefault="00EC2378" w:rsidP="00AD1739">
            <w:pPr>
              <w:spacing w:line="360" w:lineRule="auto"/>
              <w:rPr>
                <w:rFonts w:ascii="Trebuchet MS" w:hAnsi="Trebuchet MS" w:cs="Arial"/>
              </w:rPr>
            </w:pPr>
            <w:r w:rsidRPr="00C965C2">
              <w:rPr>
                <w:rFonts w:ascii="Trebuchet MS" w:hAnsi="Trebuchet MS" w:cs="Arial"/>
                <w:b/>
              </w:rPr>
              <w:t>Data</w:t>
            </w:r>
            <w:r w:rsidR="00DA4DB5">
              <w:rPr>
                <w:rFonts w:ascii="Trebuchet MS" w:hAnsi="Trebuchet MS" w:cs="Arial"/>
                <w:b/>
              </w:rPr>
              <w:t xml:space="preserve"> Entrega</w:t>
            </w:r>
            <w:r w:rsidRPr="00C965C2">
              <w:rPr>
                <w:rFonts w:ascii="Trebuchet MS" w:hAnsi="Trebuchet MS" w:cs="Arial"/>
                <w:b/>
              </w:rPr>
              <w:t>:</w:t>
            </w:r>
            <w:r w:rsidR="00AD1739">
              <w:rPr>
                <w:rFonts w:ascii="Trebuchet MS" w:hAnsi="Trebuchet MS" w:cs="Arial"/>
                <w:b/>
              </w:rPr>
              <w:t xml:space="preserve"> </w:t>
            </w:r>
            <w:r w:rsidR="00070D53">
              <w:rPr>
                <w:rFonts w:ascii="Trebuchet MS" w:hAnsi="Trebuchet MS" w:cs="Arial"/>
                <w:bCs/>
              </w:rPr>
              <w:t>13</w:t>
            </w:r>
            <w:r w:rsidR="00C30BB8">
              <w:rPr>
                <w:rFonts w:ascii="Trebuchet MS" w:hAnsi="Trebuchet MS" w:cs="Arial"/>
                <w:bCs/>
              </w:rPr>
              <w:t xml:space="preserve"> de </w:t>
            </w:r>
            <w:r w:rsidR="00AD1739">
              <w:rPr>
                <w:rFonts w:ascii="Trebuchet MS" w:hAnsi="Trebuchet MS" w:cs="Arial"/>
                <w:bCs/>
              </w:rPr>
              <w:t>A</w:t>
            </w:r>
            <w:r w:rsidR="00C965C2" w:rsidRPr="00DA4DB5">
              <w:rPr>
                <w:rFonts w:ascii="Trebuchet MS" w:hAnsi="Trebuchet MS" w:cs="Arial"/>
                <w:bCs/>
              </w:rPr>
              <w:t>bril</w:t>
            </w:r>
            <w:r w:rsidR="009653D3" w:rsidRPr="00C965C2">
              <w:rPr>
                <w:rFonts w:ascii="Trebuchet MS" w:hAnsi="Trebuchet MS" w:cs="Arial"/>
                <w:b/>
              </w:rPr>
              <w:t xml:space="preserve"> </w:t>
            </w:r>
            <w:r w:rsidR="00C30BB8">
              <w:rPr>
                <w:rFonts w:ascii="Trebuchet MS" w:hAnsi="Trebuchet MS" w:cs="Arial"/>
                <w:b/>
              </w:rPr>
              <w:t xml:space="preserve">/ </w:t>
            </w:r>
            <w:r w:rsidR="00C30BB8" w:rsidRPr="00C30BB8">
              <w:rPr>
                <w:rFonts w:ascii="Trebuchet MS" w:hAnsi="Trebuchet MS" w:cs="Arial"/>
              </w:rPr>
              <w:t>22h00</w:t>
            </w:r>
            <w:r w:rsidR="009653D3" w:rsidRPr="00C30BB8">
              <w:rPr>
                <w:rFonts w:ascii="Trebuchet MS" w:hAnsi="Trebuchet MS" w:cs="Arial"/>
              </w:rPr>
              <w:t xml:space="preserve"> </w:t>
            </w:r>
            <w:r w:rsidR="009653D3" w:rsidRPr="00C965C2">
              <w:rPr>
                <w:rFonts w:ascii="Trebuchet MS" w:hAnsi="Trebuchet MS" w:cs="Arial"/>
                <w:b/>
              </w:rPr>
              <w:t xml:space="preserve">   </w:t>
            </w:r>
            <w:r w:rsidR="00070D53">
              <w:rPr>
                <w:rFonts w:ascii="Trebuchet MS" w:hAnsi="Trebuchet MS" w:cs="Arial"/>
                <w:b/>
              </w:rPr>
              <w:t>Ano le</w:t>
            </w:r>
            <w:r w:rsidR="00FF12F9" w:rsidRPr="00C965C2">
              <w:rPr>
                <w:rFonts w:ascii="Trebuchet MS" w:hAnsi="Trebuchet MS" w:cs="Arial"/>
                <w:b/>
              </w:rPr>
              <w:t>tivo:</w:t>
            </w:r>
            <w:r w:rsidR="00070D53">
              <w:rPr>
                <w:rFonts w:ascii="Trebuchet MS" w:hAnsi="Trebuchet MS" w:cs="Arial"/>
              </w:rPr>
              <w:t xml:space="preserve"> 2011</w:t>
            </w:r>
            <w:r w:rsidRPr="00C965C2">
              <w:rPr>
                <w:rFonts w:ascii="Trebuchet MS" w:hAnsi="Trebuchet MS" w:cs="Arial"/>
              </w:rPr>
              <w:t>/1</w:t>
            </w:r>
            <w:r w:rsidR="00070D53">
              <w:rPr>
                <w:rFonts w:ascii="Trebuchet MS" w:hAnsi="Trebuchet MS" w:cs="Arial"/>
              </w:rPr>
              <w:t>2</w:t>
            </w:r>
          </w:p>
        </w:tc>
      </w:tr>
      <w:tr w:rsidR="00AD1739" w:rsidTr="00C965C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39" w:rsidRPr="00C965C2" w:rsidRDefault="00AD1739">
            <w:pPr>
              <w:rPr>
                <w:rFonts w:ascii="Trebuchet MS" w:hAnsi="Trebuchet MS"/>
                <w:b/>
              </w:rPr>
            </w:pPr>
          </w:p>
        </w:tc>
      </w:tr>
    </w:tbl>
    <w:p w:rsidR="00FF12F9" w:rsidRDefault="00FF12F9" w:rsidP="00FF12F9">
      <w:pPr>
        <w:rPr>
          <w:rFonts w:ascii="Trebuchet MS" w:hAnsi="Trebuchet MS"/>
        </w:rPr>
      </w:pPr>
    </w:p>
    <w:p w:rsidR="00FF12F9" w:rsidRDefault="00FF12F9" w:rsidP="00FF12F9">
      <w:pPr>
        <w:rPr>
          <w:rFonts w:ascii="Trebuchet MS" w:hAnsi="Trebuchet M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2"/>
        <w:gridCol w:w="418"/>
      </w:tblGrid>
      <w:tr w:rsidR="00FF12F9" w:rsidTr="00C965C2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9" w:rsidRPr="00C965C2" w:rsidRDefault="00FF12F9">
            <w:pPr>
              <w:rPr>
                <w:rFonts w:ascii="Trebuchet MS" w:hAnsi="Trebuchet MS"/>
              </w:rPr>
            </w:pPr>
          </w:p>
          <w:p w:rsidR="00EC2378" w:rsidRPr="00C965C2" w:rsidRDefault="00EC2378" w:rsidP="00C965C2">
            <w:pPr>
              <w:jc w:val="center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 xml:space="preserve">PARA A RESOLUÇÃO DO </w:t>
            </w:r>
            <w:r w:rsidRPr="00C965C2">
              <w:rPr>
                <w:rFonts w:ascii="Arial Narrow" w:hAnsi="Arial Narrow" w:cs="Arial"/>
                <w:b/>
              </w:rPr>
              <w:t>e-FÓLIO A</w:t>
            </w:r>
            <w:r w:rsidRPr="00C965C2">
              <w:rPr>
                <w:rFonts w:ascii="Arial Narrow" w:hAnsi="Arial Narrow" w:cs="Arial"/>
              </w:rPr>
              <w:t>, ACONSELHA-SE QUE:</w:t>
            </w:r>
          </w:p>
          <w:p w:rsidR="00EC2378" w:rsidRPr="00C965C2" w:rsidRDefault="00EC2378" w:rsidP="00C965C2">
            <w:pPr>
              <w:jc w:val="center"/>
              <w:rPr>
                <w:rFonts w:ascii="Arial Narrow" w:hAnsi="Arial Narrow" w:cs="Arial"/>
              </w:rPr>
            </w:pPr>
          </w:p>
          <w:p w:rsidR="00EC2378" w:rsidRPr="00C965C2" w:rsidRDefault="00EC2378" w:rsidP="00C965C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>Salve o documento no seu disco rígido antes de começar a responder.</w:t>
            </w:r>
          </w:p>
          <w:p w:rsidR="00EC2378" w:rsidRPr="00C965C2" w:rsidRDefault="00EC2378" w:rsidP="00C965C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>Preencha devidamente o cabeçalho do exemplar.</w:t>
            </w:r>
          </w:p>
          <w:p w:rsidR="00EC2378" w:rsidRPr="00C965C2" w:rsidRDefault="00EC2378" w:rsidP="00C965C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 xml:space="preserve">Depois de ter realizado o e-Fólio, insira-o na página </w:t>
            </w:r>
            <w:r w:rsidRPr="00C965C2">
              <w:rPr>
                <w:rFonts w:ascii="Arial Narrow" w:hAnsi="Arial Narrow" w:cs="Arial"/>
                <w:i/>
              </w:rPr>
              <w:t>moodle</w:t>
            </w:r>
            <w:r w:rsidRPr="00C965C2">
              <w:rPr>
                <w:rFonts w:ascii="Arial Narrow" w:hAnsi="Arial Narrow" w:cs="Arial"/>
              </w:rPr>
              <w:t xml:space="preserve"> da unidade curricular, </w:t>
            </w:r>
            <w:r w:rsidR="00C30BB8">
              <w:rPr>
                <w:rFonts w:ascii="Arial Narrow" w:hAnsi="Arial Narrow" w:cs="Arial"/>
              </w:rPr>
              <w:t>no dispositivo previsto (</w:t>
            </w:r>
            <w:r w:rsidRPr="00C30BB8">
              <w:rPr>
                <w:rFonts w:ascii="Arial Narrow" w:hAnsi="Arial Narrow" w:cs="Arial"/>
                <w:b/>
              </w:rPr>
              <w:t>e-Fólio A</w:t>
            </w:r>
            <w:r w:rsidR="00C30BB8">
              <w:rPr>
                <w:rFonts w:ascii="Arial Narrow" w:hAnsi="Arial Narrow" w:cs="Arial"/>
              </w:rPr>
              <w:t>)</w:t>
            </w:r>
            <w:r w:rsidRPr="00C965C2">
              <w:rPr>
                <w:rFonts w:ascii="Arial Narrow" w:hAnsi="Arial Narrow" w:cs="Arial"/>
              </w:rPr>
              <w:t xml:space="preserve"> até ao dia </w:t>
            </w:r>
            <w:r w:rsidR="00C30BB8">
              <w:rPr>
                <w:rFonts w:ascii="Arial Narrow" w:hAnsi="Arial Narrow" w:cs="Arial"/>
                <w:b/>
              </w:rPr>
              <w:t>13</w:t>
            </w:r>
            <w:r w:rsidR="00511180">
              <w:rPr>
                <w:rFonts w:ascii="Arial Narrow" w:hAnsi="Arial Narrow" w:cs="Arial"/>
                <w:b/>
              </w:rPr>
              <w:t xml:space="preserve"> de </w:t>
            </w:r>
            <w:r w:rsidR="00C30BB8">
              <w:rPr>
                <w:rFonts w:ascii="Arial Narrow" w:hAnsi="Arial Narrow" w:cs="Arial"/>
                <w:b/>
              </w:rPr>
              <w:t>a</w:t>
            </w:r>
            <w:r w:rsidR="00511180">
              <w:rPr>
                <w:rFonts w:ascii="Arial Narrow" w:hAnsi="Arial Narrow" w:cs="Arial"/>
                <w:b/>
              </w:rPr>
              <w:t>bril</w:t>
            </w:r>
            <w:r w:rsidR="00B30995">
              <w:rPr>
                <w:rFonts w:ascii="Arial Narrow" w:hAnsi="Arial Narrow" w:cs="Arial"/>
                <w:b/>
              </w:rPr>
              <w:t xml:space="preserve"> à</w:t>
            </w:r>
            <w:r w:rsidR="00C30BB8">
              <w:rPr>
                <w:rFonts w:ascii="Arial Narrow" w:hAnsi="Arial Narrow" w:cs="Arial"/>
                <w:b/>
              </w:rPr>
              <w:t>s 22h00.</w:t>
            </w:r>
          </w:p>
          <w:p w:rsidR="00C30BB8" w:rsidRDefault="00C30BB8" w:rsidP="00C30BB8">
            <w:pPr>
              <w:spacing w:line="360" w:lineRule="auto"/>
              <w:ind w:left="720"/>
              <w:jc w:val="both"/>
              <w:rPr>
                <w:rFonts w:ascii="Arial Narrow" w:hAnsi="Arial Narrow" w:cs="Arial"/>
              </w:rPr>
            </w:pPr>
          </w:p>
          <w:p w:rsidR="00C30BB8" w:rsidRPr="00C965C2" w:rsidRDefault="00C30BB8" w:rsidP="00C30BB8">
            <w:pPr>
              <w:spacing w:line="360" w:lineRule="auto"/>
              <w:ind w:left="720"/>
              <w:jc w:val="both"/>
              <w:rPr>
                <w:rFonts w:ascii="Arial Narrow" w:hAnsi="Arial Narrow" w:cs="Arial"/>
              </w:rPr>
            </w:pPr>
            <w:r w:rsidRPr="00C965C2">
              <w:rPr>
                <w:rFonts w:ascii="Arial Narrow" w:hAnsi="Arial Narrow" w:cs="Arial"/>
              </w:rPr>
              <w:t xml:space="preserve">O e-Fólio é composto por </w:t>
            </w:r>
            <w:r w:rsidRPr="00C965C2">
              <w:rPr>
                <w:rFonts w:ascii="Arial Narrow" w:hAnsi="Arial Narrow" w:cs="Arial"/>
                <w:b/>
              </w:rPr>
              <w:t xml:space="preserve">1 pergunta </w:t>
            </w:r>
            <w:r w:rsidRPr="00C965C2">
              <w:rPr>
                <w:rFonts w:ascii="Arial Narrow" w:hAnsi="Arial Narrow" w:cs="Arial"/>
              </w:rPr>
              <w:t xml:space="preserve">de desenvolvimento longo, contém </w:t>
            </w:r>
            <w:r w:rsidRPr="00C965C2">
              <w:rPr>
                <w:rFonts w:ascii="Arial Narrow" w:hAnsi="Arial Narrow" w:cs="Arial"/>
                <w:b/>
              </w:rPr>
              <w:t xml:space="preserve">4 </w:t>
            </w:r>
            <w:r w:rsidRPr="00C965C2">
              <w:rPr>
                <w:rFonts w:ascii="Arial Narrow" w:hAnsi="Arial Narrow" w:cs="Arial"/>
              </w:rPr>
              <w:t xml:space="preserve">páginas </w:t>
            </w:r>
            <w:r>
              <w:rPr>
                <w:rFonts w:ascii="Arial Narrow" w:hAnsi="Arial Narrow" w:cs="Arial"/>
              </w:rPr>
              <w:t>(incl. cabeçalho e instruções) em A4</w:t>
            </w:r>
            <w:r w:rsidR="00B30995">
              <w:rPr>
                <w:rFonts w:ascii="Arial Narrow" w:hAnsi="Arial Narrow" w:cs="Arial"/>
              </w:rPr>
              <w:t>. Formato: word,</w:t>
            </w:r>
            <w:r w:rsidRPr="00070D53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t>Times New Roman 12, espaço: 1,5</w:t>
            </w:r>
            <w:r w:rsidRPr="00C965C2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A bibliografia pode constar numa página extra.</w:t>
            </w:r>
            <w:r w:rsidRPr="00C965C2">
              <w:rPr>
                <w:rFonts w:ascii="Arial Narrow" w:hAnsi="Arial Narrow" w:cs="Arial"/>
              </w:rPr>
              <w:t xml:space="preserve"> </w:t>
            </w:r>
          </w:p>
          <w:p w:rsidR="00EC2378" w:rsidRDefault="00EC2378" w:rsidP="00EC2378">
            <w:pPr>
              <w:rPr>
                <w:rFonts w:ascii="Arial Narrow" w:hAnsi="Arial Narrow" w:cs="Arial"/>
              </w:rPr>
            </w:pPr>
          </w:p>
          <w:p w:rsidR="00EC2378" w:rsidRPr="00C965C2" w:rsidRDefault="00EC2378" w:rsidP="00EC2378">
            <w:pPr>
              <w:rPr>
                <w:rFonts w:ascii="Arial Narrow" w:hAnsi="Arial Narrow" w:cs="Arial"/>
              </w:rPr>
            </w:pPr>
          </w:p>
          <w:p w:rsidR="00EC2378" w:rsidRDefault="00EC2378" w:rsidP="00C965C2">
            <w:pPr>
              <w:jc w:val="center"/>
              <w:rPr>
                <w:rFonts w:ascii="Arial Narrow" w:hAnsi="Arial Narrow" w:cs="Arial"/>
                <w:b/>
              </w:rPr>
            </w:pPr>
            <w:r w:rsidRPr="00C965C2">
              <w:rPr>
                <w:rFonts w:ascii="Arial Narrow" w:hAnsi="Arial Narrow" w:cs="Arial"/>
                <w:b/>
              </w:rPr>
              <w:t>CRITÉRIOS DE AVALIAÇÃO E COTAÇÃO:</w:t>
            </w:r>
          </w:p>
          <w:p w:rsidR="00C30BB8" w:rsidRPr="00C965C2" w:rsidRDefault="00C30BB8" w:rsidP="00C965C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BA0892" w:rsidRDefault="00BA0892" w:rsidP="00BA089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Classificação total</w:t>
            </w:r>
            <w:r w:rsidR="005D699A">
              <w:rPr>
                <w:b/>
                <w:bCs/>
              </w:rPr>
              <w:t>: 40</w:t>
            </w:r>
            <w:r>
              <w:rPr>
                <w:b/>
                <w:bCs/>
              </w:rPr>
              <w:t xml:space="preserve"> pontos distribuídos </w:t>
            </w:r>
            <w:proofErr w:type="gramStart"/>
            <w:r>
              <w:rPr>
                <w:b/>
                <w:bCs/>
              </w:rPr>
              <w:t>por</w:t>
            </w:r>
            <w:proofErr w:type="gramEnd"/>
            <w:r>
              <w:rPr>
                <w:b/>
                <w:bCs/>
              </w:rPr>
              <w:t>:</w:t>
            </w:r>
          </w:p>
          <w:p w:rsidR="00C965C2" w:rsidRDefault="00C965C2" w:rsidP="00CC18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65C2">
              <w:rPr>
                <w:b/>
                <w:bCs/>
              </w:rPr>
              <w:t>Conteúdo - 30 pontos;</w:t>
            </w:r>
          </w:p>
          <w:p w:rsidR="00C965C2" w:rsidRPr="00BA0892" w:rsidRDefault="00CC1838" w:rsidP="00845A97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bCs/>
              </w:rPr>
            </w:pPr>
            <w:r w:rsidRPr="00BA0892">
              <w:rPr>
                <w:bCs/>
              </w:rPr>
              <w:t>Os critérios genéricos da avaliação são a proficiênci</w:t>
            </w:r>
            <w:r w:rsidR="00845A97" w:rsidRPr="00BA0892">
              <w:rPr>
                <w:bCs/>
              </w:rPr>
              <w:t xml:space="preserve">a, o encadeamento do raciocínio, </w:t>
            </w:r>
            <w:r w:rsidRPr="00BA0892">
              <w:rPr>
                <w:bCs/>
              </w:rPr>
              <w:t>a justeza dos conteúdos da resposta</w:t>
            </w:r>
            <w:r w:rsidR="00845A97" w:rsidRPr="00BA0892">
              <w:rPr>
                <w:bCs/>
              </w:rPr>
              <w:t xml:space="preserve"> e</w:t>
            </w:r>
            <w:r w:rsidRPr="00BA0892">
              <w:rPr>
                <w:bCs/>
              </w:rPr>
              <w:t xml:space="preserve"> </w:t>
            </w:r>
            <w:r w:rsidR="00845A97" w:rsidRPr="00BA0892">
              <w:rPr>
                <w:bCs/>
              </w:rPr>
              <w:t xml:space="preserve">o rigor científico dos aspectos enunciados, </w:t>
            </w:r>
            <w:r w:rsidRPr="00BA0892">
              <w:rPr>
                <w:bCs/>
              </w:rPr>
              <w:t>(</w:t>
            </w:r>
            <w:r w:rsidRPr="00BA0892">
              <w:rPr>
                <w:bCs/>
                <w:color w:val="000000"/>
              </w:rPr>
              <w:t>clareza da exposição; capacidade de sintetização e estruturação; qualidade da argumentação; relevância da bibliografia</w:t>
            </w:r>
            <w:r w:rsidR="00845A97" w:rsidRPr="00BA0892">
              <w:rPr>
                <w:bCs/>
                <w:color w:val="000000"/>
              </w:rPr>
              <w:t>, g</w:t>
            </w:r>
            <w:r w:rsidR="00C965C2" w:rsidRPr="00BA0892">
              <w:rPr>
                <w:bCs/>
              </w:rPr>
              <w:t>rau de sistematização e exploração do tema alvo</w:t>
            </w:r>
            <w:r w:rsidR="00845A97" w:rsidRPr="00BA0892">
              <w:rPr>
                <w:bCs/>
              </w:rPr>
              <w:t>)</w:t>
            </w:r>
            <w:r w:rsidRPr="00BA0892">
              <w:rPr>
                <w:bCs/>
              </w:rPr>
              <w:t>.</w:t>
            </w:r>
            <w:r w:rsidR="00C965C2" w:rsidRPr="00BA0892">
              <w:rPr>
                <w:bCs/>
              </w:rPr>
              <w:t xml:space="preserve"> </w:t>
            </w:r>
          </w:p>
          <w:p w:rsidR="00C965C2" w:rsidRPr="00CC1838" w:rsidRDefault="00C965C2" w:rsidP="00C965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C1838" w:rsidRPr="00CC1838" w:rsidRDefault="00CC1838" w:rsidP="00CC1838">
            <w:pPr>
              <w:ind w:left="540" w:hanging="540"/>
              <w:jc w:val="both"/>
              <w:rPr>
                <w:b/>
              </w:rPr>
            </w:pPr>
            <w:r w:rsidRPr="00CC1838">
              <w:rPr>
                <w:b/>
              </w:rPr>
              <w:t>A</w:t>
            </w:r>
            <w:r w:rsidRPr="00CC1838">
              <w:rPr>
                <w:b/>
                <w:color w:val="000000"/>
              </w:rPr>
              <w:t>presentação formal</w:t>
            </w:r>
            <w:r w:rsidR="00C965C2" w:rsidRPr="00CC1838">
              <w:rPr>
                <w:b/>
              </w:rPr>
              <w:t xml:space="preserve"> - 10 pontos.</w:t>
            </w:r>
          </w:p>
          <w:p w:rsidR="00C965C2" w:rsidRPr="00BA0892" w:rsidRDefault="00CC1838" w:rsidP="00CC18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0892">
              <w:rPr>
                <w:bCs/>
              </w:rPr>
              <w:t xml:space="preserve">Organização textual e qualidade discursiva </w:t>
            </w:r>
            <w:r w:rsidRPr="00BA0892">
              <w:rPr>
                <w:bCs/>
                <w:color w:val="000000"/>
              </w:rPr>
              <w:t xml:space="preserve">(identificação das fontes, citações correctas, </w:t>
            </w:r>
            <w:r w:rsidRPr="00BA0892">
              <w:rPr>
                <w:bCs/>
              </w:rPr>
              <w:t xml:space="preserve">ortografia, </w:t>
            </w:r>
            <w:r w:rsidR="00845A97" w:rsidRPr="00BA0892">
              <w:rPr>
                <w:bCs/>
              </w:rPr>
              <w:t xml:space="preserve">estrutura </w:t>
            </w:r>
            <w:r w:rsidR="00C965C2" w:rsidRPr="00BA0892">
              <w:rPr>
                <w:bCs/>
              </w:rPr>
              <w:t>sintáctica e adequação lexical/terminológica</w:t>
            </w:r>
            <w:r w:rsidRPr="00BA0892">
              <w:rPr>
                <w:bCs/>
              </w:rPr>
              <w:t>).</w:t>
            </w:r>
            <w:r w:rsidR="00C965C2" w:rsidRPr="00BA0892">
              <w:rPr>
                <w:bCs/>
              </w:rPr>
              <w:t xml:space="preserve"> </w:t>
            </w:r>
          </w:p>
          <w:p w:rsidR="00CC1838" w:rsidRDefault="00CC1838" w:rsidP="00C965C2">
            <w:pPr>
              <w:pStyle w:val="BodyText"/>
              <w:spacing w:line="360" w:lineRule="auto"/>
              <w:rPr>
                <w:rFonts w:ascii="Arial Narrow" w:hAnsi="Arial Narrow"/>
                <w:b/>
              </w:rPr>
            </w:pPr>
          </w:p>
          <w:p w:rsidR="00FF12F9" w:rsidRPr="00CC1838" w:rsidRDefault="00EC2378" w:rsidP="00CC1838">
            <w:pPr>
              <w:pStyle w:val="BodyText"/>
              <w:spacing w:line="360" w:lineRule="auto"/>
              <w:rPr>
                <w:rFonts w:ascii="Arial Narrow" w:hAnsi="Arial Narrow"/>
                <w:b/>
              </w:rPr>
            </w:pPr>
            <w:r w:rsidRPr="00C965C2">
              <w:rPr>
                <w:rFonts w:ascii="Arial Narrow" w:hAnsi="Arial Narrow"/>
                <w:b/>
              </w:rPr>
              <w:lastRenderedPageBreak/>
              <w:t>As respostas plagiadas implicam a anulação do e-Fólio.</w:t>
            </w:r>
          </w:p>
        </w:tc>
      </w:tr>
      <w:tr w:rsidR="00C965C2" w:rsidRPr="002263FC" w:rsidTr="00C965C2">
        <w:tblPrEx>
          <w:tblLook w:val="04A0" w:firstRow="1" w:lastRow="0" w:firstColumn="1" w:lastColumn="0" w:noHBand="0" w:noVBand="1"/>
        </w:tblPrEx>
        <w:trPr>
          <w:gridAfter w:val="1"/>
          <w:wAfter w:w="422" w:type="dxa"/>
        </w:trPr>
        <w:tc>
          <w:tcPr>
            <w:tcW w:w="8644" w:type="dxa"/>
          </w:tcPr>
          <w:p w:rsidR="00C965C2" w:rsidRPr="000D3B59" w:rsidRDefault="002263FC" w:rsidP="00753E39">
            <w:pPr>
              <w:spacing w:line="360" w:lineRule="auto"/>
              <w:ind w:firstLine="708"/>
              <w:jc w:val="both"/>
              <w:rPr>
                <w:b/>
              </w:rPr>
            </w:pPr>
            <w:r w:rsidRPr="000D3B59">
              <w:rPr>
                <w:b/>
              </w:rPr>
              <w:lastRenderedPageBreak/>
              <w:t xml:space="preserve">Os dois Tópicos já trabalhados nesta Unidade Curricular apresentam duas épocas reveladoras de mudanças que caracterizam a História da Ciência da Informação. </w:t>
            </w:r>
            <w:r w:rsidR="00C965C2" w:rsidRPr="000D3B59">
              <w:rPr>
                <w:b/>
              </w:rPr>
              <w:t>Por um lado, um Estado-Nação, surgido das grandes mudanças estruturais ocorridas no séc. XVIII em França, cria condições para a promoção de novas formas de aceder a documentos por parte dos</w:t>
            </w:r>
            <w:r w:rsidR="00753E39" w:rsidRPr="000D3B59">
              <w:rPr>
                <w:b/>
              </w:rPr>
              <w:t xml:space="preserve"> cidadãos. Por outro, o Estado C</w:t>
            </w:r>
            <w:r w:rsidR="00C965C2" w:rsidRPr="000D3B59">
              <w:rPr>
                <w:b/>
              </w:rPr>
              <w:t>ultural procura construir uma nova forma de salvaguarda</w:t>
            </w:r>
            <w:r w:rsidR="00753E39" w:rsidRPr="000D3B59">
              <w:rPr>
                <w:b/>
              </w:rPr>
              <w:t>r</w:t>
            </w:r>
            <w:r w:rsidR="00C965C2" w:rsidRPr="000D3B59">
              <w:rPr>
                <w:b/>
              </w:rPr>
              <w:t xml:space="preserve"> e </w:t>
            </w:r>
            <w:r w:rsidR="00753E39" w:rsidRPr="000D3B59">
              <w:rPr>
                <w:b/>
              </w:rPr>
              <w:t>difundir</w:t>
            </w:r>
            <w:r w:rsidR="00C965C2" w:rsidRPr="000D3B59">
              <w:rPr>
                <w:b/>
              </w:rPr>
              <w:t xml:space="preserve"> a cultura pela criação de organismos internacionais destinados a estimular a educação e a promover a cooperação nacional e internacional dos serviços de informação.   </w:t>
            </w:r>
          </w:p>
          <w:p w:rsidR="00C965C2" w:rsidRPr="000D3B59" w:rsidRDefault="00C965C2" w:rsidP="00C965C2">
            <w:pPr>
              <w:spacing w:line="360" w:lineRule="auto"/>
              <w:ind w:firstLine="708"/>
              <w:jc w:val="both"/>
              <w:rPr>
                <w:b/>
              </w:rPr>
            </w:pPr>
          </w:p>
          <w:p w:rsidR="00C965C2" w:rsidRPr="000D3B59" w:rsidRDefault="00C965C2" w:rsidP="00C965C2">
            <w:pPr>
              <w:spacing w:line="360" w:lineRule="auto"/>
              <w:ind w:firstLine="708"/>
              <w:jc w:val="both"/>
            </w:pPr>
            <w:r w:rsidRPr="000D3B59">
              <w:rPr>
                <w:b/>
              </w:rPr>
              <w:t xml:space="preserve">Caracterize, </w:t>
            </w:r>
            <w:r w:rsidRPr="000D3B59">
              <w:rPr>
                <w:b/>
                <w:u w:val="single"/>
              </w:rPr>
              <w:t>de forma organizada e sucinta</w:t>
            </w:r>
            <w:r w:rsidRPr="000D3B59">
              <w:rPr>
                <w:b/>
              </w:rPr>
              <w:t xml:space="preserve">, estes dois períodos, analisando a evolução que se repercute nos fluxos informacionais, desde os produtores aos utilizadores. </w:t>
            </w:r>
          </w:p>
          <w:p w:rsidR="00C965C2" w:rsidRPr="002263FC" w:rsidRDefault="00C965C2" w:rsidP="00FF12F9">
            <w:pPr>
              <w:rPr>
                <w:sz w:val="28"/>
                <w:szCs w:val="28"/>
              </w:rPr>
            </w:pPr>
          </w:p>
        </w:tc>
      </w:tr>
    </w:tbl>
    <w:p w:rsidR="000B4752" w:rsidRDefault="000B4752" w:rsidP="00B51A2E">
      <w:pPr>
        <w:tabs>
          <w:tab w:val="num" w:pos="1440"/>
        </w:tabs>
        <w:spacing w:before="120" w:after="120" w:line="360" w:lineRule="auto"/>
        <w:jc w:val="center"/>
        <w:rPr>
          <w:b/>
        </w:rPr>
      </w:pPr>
    </w:p>
    <w:p w:rsidR="00AD1739" w:rsidRPr="00AD1739" w:rsidRDefault="00616842" w:rsidP="00B51A2E">
      <w:pPr>
        <w:tabs>
          <w:tab w:val="num" w:pos="1440"/>
        </w:tabs>
        <w:spacing w:before="120" w:after="120" w:line="360" w:lineRule="auto"/>
        <w:jc w:val="center"/>
        <w:rPr>
          <w:b/>
        </w:rPr>
      </w:pPr>
      <w:r>
        <w:rPr>
          <w:b/>
        </w:rPr>
        <w:t>Ciências da Informação</w:t>
      </w:r>
      <w:r w:rsidR="00324EB4">
        <w:rPr>
          <w:b/>
        </w:rPr>
        <w:t>: d</w:t>
      </w:r>
      <w:r w:rsidR="008E65DF">
        <w:rPr>
          <w:b/>
        </w:rPr>
        <w:t>uas épocas</w:t>
      </w:r>
      <w:r w:rsidR="00211FAB">
        <w:rPr>
          <w:b/>
        </w:rPr>
        <w:t>,</w:t>
      </w:r>
      <w:r w:rsidR="008E65DF">
        <w:rPr>
          <w:b/>
        </w:rPr>
        <w:t xml:space="preserve"> um percurso</w:t>
      </w:r>
    </w:p>
    <w:p w:rsidR="00AD1739" w:rsidRDefault="00A8181E" w:rsidP="00EC6AA9">
      <w:pPr>
        <w:tabs>
          <w:tab w:val="num" w:pos="1440"/>
        </w:tabs>
        <w:spacing w:line="360" w:lineRule="auto"/>
        <w:ind w:firstLine="680"/>
        <w:jc w:val="both"/>
      </w:pPr>
      <w:r>
        <w:t>Com o século das luzes</w:t>
      </w:r>
      <w:r w:rsidR="00017902">
        <w:t>, sob uma visão humanista,</w:t>
      </w:r>
      <w:r>
        <w:t xml:space="preserve"> surgiu uma nova </w:t>
      </w:r>
      <w:r w:rsidR="00030AD6">
        <w:t>concepção</w:t>
      </w:r>
      <w:r>
        <w:t xml:space="preserve"> </w:t>
      </w:r>
      <w:r w:rsidR="00780A26">
        <w:t xml:space="preserve">na forma como </w:t>
      </w:r>
      <w:r>
        <w:t xml:space="preserve">a informação e a documentação deviam ser </w:t>
      </w:r>
      <w:r w:rsidR="00017902">
        <w:t>abordadas</w:t>
      </w:r>
      <w:r>
        <w:t xml:space="preserve"> e da importância que estas tinham na vida política, social e científica.</w:t>
      </w:r>
      <w:r w:rsidR="00017902">
        <w:t xml:space="preserve"> </w:t>
      </w:r>
      <w:r w:rsidR="00376C02">
        <w:t>Com a Revolução Francesa a</w:t>
      </w:r>
      <w:r w:rsidR="00017902">
        <w:t xml:space="preserve"> concepção custodial mantém-se</w:t>
      </w:r>
      <w:r w:rsidR="00376C02">
        <w:t>, embora seja predominantemente o Estado a desempenhar esse papel, patrimonialista,</w:t>
      </w:r>
      <w:r w:rsidR="00780A26">
        <w:t xml:space="preserve"> mas a</w:t>
      </w:r>
      <w:r w:rsidR="00017902">
        <w:t xml:space="preserve">brem-se as portas das bibliotecas, dos museus - acabados de nascer - e dos </w:t>
      </w:r>
      <w:r w:rsidR="002B0407">
        <w:t>arquivos</w:t>
      </w:r>
      <w:r w:rsidR="00376C02">
        <w:t>,</w:t>
      </w:r>
      <w:r w:rsidR="00017902">
        <w:t xml:space="preserve"> ao cidadão</w:t>
      </w:r>
      <w:r w:rsidR="002B0407">
        <w:t xml:space="preserve"> comum que o deseje ou necessite</w:t>
      </w:r>
      <w:r w:rsidR="00780A26">
        <w:t xml:space="preserve"> e, assim, nascem novos serviços</w:t>
      </w:r>
      <w:r w:rsidR="00017902">
        <w:t xml:space="preserve">. Promove-se o direito e a liberdade </w:t>
      </w:r>
      <w:r w:rsidR="002B0407">
        <w:t>n</w:t>
      </w:r>
      <w:r w:rsidR="00017902">
        <w:t xml:space="preserve">o acesso </w:t>
      </w:r>
      <w:r w:rsidR="002B0407">
        <w:t>a</w:t>
      </w:r>
      <w:r w:rsidR="00017902">
        <w:t>os vastos acervos</w:t>
      </w:r>
      <w:r w:rsidR="00376C02">
        <w:t>, centralizados,</w:t>
      </w:r>
      <w:r w:rsidR="00017902">
        <w:t xml:space="preserve"> de informação. </w:t>
      </w:r>
      <w:r w:rsidR="002B0407">
        <w:t xml:space="preserve">Com estes, </w:t>
      </w:r>
      <w:r w:rsidR="00017902">
        <w:t>defendem-se os interesse</w:t>
      </w:r>
      <w:r w:rsidR="00780A26">
        <w:t>s do Estado e dos seus cidadãos, serve-se a História, identifica-se a Cultura</w:t>
      </w:r>
      <w:r w:rsidR="00FA353B">
        <w:t xml:space="preserve">, </w:t>
      </w:r>
      <w:r w:rsidR="004A5A19">
        <w:t>edifica-se</w:t>
      </w:r>
      <w:r w:rsidR="00FA353B">
        <w:t xml:space="preserve"> uma</w:t>
      </w:r>
      <w:r w:rsidR="00780A26">
        <w:t xml:space="preserve"> Identidade</w:t>
      </w:r>
      <w:r w:rsidR="004A5A19">
        <w:t xml:space="preserve"> comum</w:t>
      </w:r>
      <w:r w:rsidR="00780A26">
        <w:t>.</w:t>
      </w:r>
      <w:r w:rsidR="0036653B">
        <w:t xml:space="preserve"> E</w:t>
      </w:r>
      <w:r w:rsidR="000B4752">
        <w:t>m</w:t>
      </w:r>
      <w:r w:rsidR="0036653B">
        <w:t xml:space="preserve"> pleno século XX</w:t>
      </w:r>
      <w:r w:rsidR="000B4752">
        <w:t>, com o fim da II Guerra Mundial, dão-se os primeiros passos na tentativa de universalizar o conceito de Património Cultural, o livre acesso à informação, particularmente com a criação da UNESCO</w:t>
      </w:r>
      <w:r w:rsidR="00E81CAC">
        <w:t xml:space="preserve"> (1945),</w:t>
      </w:r>
      <w:r w:rsidR="000B4752">
        <w:t xml:space="preserve"> mas desta feita</w:t>
      </w:r>
      <w:r w:rsidR="00E81CAC">
        <w:t>,</w:t>
      </w:r>
      <w:r w:rsidR="000B4752">
        <w:t xml:space="preserve"> de uma forma supra nacional, transversal a todos os povos</w:t>
      </w:r>
      <w:r w:rsidR="00C74486">
        <w:t>,</w:t>
      </w:r>
      <w:r w:rsidR="000B4752">
        <w:t xml:space="preserve"> </w:t>
      </w:r>
      <w:r w:rsidR="00E81CAC">
        <w:t xml:space="preserve">pretendendo </w:t>
      </w:r>
      <w:r w:rsidR="000B4752">
        <w:t>transpo</w:t>
      </w:r>
      <w:r w:rsidR="00E81CAC">
        <w:t>r</w:t>
      </w:r>
      <w:r w:rsidR="000B4752">
        <w:t xml:space="preserve"> todas e quaisquer barreiras. Disso nos dá conta o art.º 19</w:t>
      </w:r>
      <w:r w:rsidR="000B4752">
        <w:rPr>
          <w:rStyle w:val="FootnoteReference"/>
        </w:rPr>
        <w:footnoteReference w:id="1"/>
      </w:r>
      <w:r w:rsidR="000B4752">
        <w:t xml:space="preserve"> na Declaração </w:t>
      </w:r>
      <w:r w:rsidR="000B4752">
        <w:lastRenderedPageBreak/>
        <w:t>Universal dos Direitos do Homem</w:t>
      </w:r>
      <w:r w:rsidR="00C74486">
        <w:t xml:space="preserve"> e verific</w:t>
      </w:r>
      <w:r w:rsidR="00A8273A">
        <w:t>a</w:t>
      </w:r>
      <w:r w:rsidR="00C74486">
        <w:t>-se, assim, paulatinamente</w:t>
      </w:r>
      <w:r w:rsidR="00A8273A">
        <w:t>,</w:t>
      </w:r>
      <w:r w:rsidR="00C74486">
        <w:t xml:space="preserve"> a transformação, ainda não acabada, do Estado-Nação em Estado-Cultural disponível </w:t>
      </w:r>
      <w:r w:rsidR="00EC6AA9">
        <w:t>a</w:t>
      </w:r>
      <w:r w:rsidR="00C74486">
        <w:t xml:space="preserve"> todos os cidadãos.</w:t>
      </w:r>
    </w:p>
    <w:p w:rsidR="00C74486" w:rsidRDefault="00C74486" w:rsidP="00EC6AA9">
      <w:pPr>
        <w:tabs>
          <w:tab w:val="num" w:pos="1440"/>
        </w:tabs>
        <w:spacing w:line="360" w:lineRule="auto"/>
        <w:ind w:firstLine="680"/>
        <w:jc w:val="both"/>
      </w:pPr>
      <w:r>
        <w:t>Luís António de Verney, na sua correspondência entre 1765-66</w:t>
      </w:r>
      <w:r w:rsidR="005556B7">
        <w:t xml:space="preserve">, numa </w:t>
      </w:r>
      <w:r w:rsidR="005556B7" w:rsidRPr="005556B7">
        <w:t>quase</w:t>
      </w:r>
      <w:r w:rsidR="005556B7">
        <w:t xml:space="preserve"> </w:t>
      </w:r>
      <w:r w:rsidR="005556B7" w:rsidRPr="005556B7">
        <w:t>ant</w:t>
      </w:r>
      <w:r w:rsidR="005556B7">
        <w:t>ecipação à R</w:t>
      </w:r>
      <w:r w:rsidR="005556B7" w:rsidRPr="005556B7">
        <w:t xml:space="preserve">evolução </w:t>
      </w:r>
      <w:r w:rsidR="005556B7">
        <w:t>F</w:t>
      </w:r>
      <w:r w:rsidR="005556B7" w:rsidRPr="005556B7">
        <w:t>rancesa</w:t>
      </w:r>
      <w:r w:rsidR="005556B7">
        <w:t xml:space="preserve">, </w:t>
      </w:r>
      <w:r w:rsidR="005556B7" w:rsidRPr="005556B7">
        <w:rPr>
          <w:i/>
        </w:rPr>
        <w:t>insinua-se amiúde que os reis não são donos, mas simples administradores</w:t>
      </w:r>
      <w:r w:rsidR="00A8273A">
        <w:rPr>
          <w:i/>
        </w:rPr>
        <w:t xml:space="preserve"> (…)</w:t>
      </w:r>
      <w:r w:rsidR="005556B7" w:rsidRPr="005556B7">
        <w:rPr>
          <w:i/>
        </w:rPr>
        <w:t>; que o trabalho governativo deve executar-se com o assentimento da opinião pública e com o espírito de colaboração e de crítica recíproca entre os seus responsáveis, devido à «ineficácia da mente humana para ver tudo por si»</w:t>
      </w:r>
      <w:r w:rsidR="005556B7">
        <w:rPr>
          <w:rStyle w:val="FootnoteReference"/>
          <w:i/>
        </w:rPr>
        <w:footnoteReference w:id="2"/>
      </w:r>
      <w:r w:rsidR="005556B7" w:rsidRPr="005556B7">
        <w:t>.</w:t>
      </w:r>
      <w:r w:rsidR="005556B7">
        <w:t xml:space="preserve"> A Revolução Francesa, sob o lema </w:t>
      </w:r>
      <w:proofErr w:type="spellStart"/>
      <w:r w:rsidR="005556B7" w:rsidRPr="00E052B5">
        <w:rPr>
          <w:i/>
        </w:rPr>
        <w:t>Liberté</w:t>
      </w:r>
      <w:proofErr w:type="spellEnd"/>
      <w:r w:rsidR="005556B7" w:rsidRPr="00E052B5">
        <w:rPr>
          <w:i/>
        </w:rPr>
        <w:t xml:space="preserve">, </w:t>
      </w:r>
      <w:proofErr w:type="spellStart"/>
      <w:r w:rsidR="005556B7" w:rsidRPr="00E052B5">
        <w:rPr>
          <w:i/>
        </w:rPr>
        <w:t>Egalité</w:t>
      </w:r>
      <w:proofErr w:type="spellEnd"/>
      <w:r w:rsidR="00A8273A" w:rsidRPr="00E052B5">
        <w:rPr>
          <w:i/>
        </w:rPr>
        <w:t xml:space="preserve"> </w:t>
      </w:r>
      <w:proofErr w:type="spellStart"/>
      <w:r w:rsidR="00A8273A" w:rsidRPr="00E052B5">
        <w:rPr>
          <w:i/>
        </w:rPr>
        <w:t>et</w:t>
      </w:r>
      <w:proofErr w:type="spellEnd"/>
      <w:r w:rsidR="005556B7" w:rsidRPr="00E052B5">
        <w:rPr>
          <w:i/>
        </w:rPr>
        <w:t xml:space="preserve"> </w:t>
      </w:r>
      <w:proofErr w:type="spellStart"/>
      <w:r w:rsidR="005556B7" w:rsidRPr="00E052B5">
        <w:rPr>
          <w:i/>
        </w:rPr>
        <w:t>Fraternité</w:t>
      </w:r>
      <w:proofErr w:type="spellEnd"/>
      <w:r w:rsidR="0074553A">
        <w:t xml:space="preserve"> </w:t>
      </w:r>
      <w:r w:rsidR="00E052B5">
        <w:t>inicia</w:t>
      </w:r>
      <w:r w:rsidR="0074553A">
        <w:t xml:space="preserve"> um novo modelo de governação. </w:t>
      </w:r>
    </w:p>
    <w:p w:rsidR="00017902" w:rsidRDefault="0074553A" w:rsidP="00EC6AA9">
      <w:pPr>
        <w:tabs>
          <w:tab w:val="num" w:pos="1440"/>
        </w:tabs>
        <w:spacing w:line="360" w:lineRule="auto"/>
        <w:ind w:firstLine="680"/>
        <w:jc w:val="both"/>
      </w:pPr>
      <w:r>
        <w:t>Na tentativa de democratização do Estado e das Instituições, são sucessivamente aprovadas leis com este objectivo</w:t>
      </w:r>
      <w:r w:rsidR="00E052B5">
        <w:t>. C</w:t>
      </w:r>
      <w:r>
        <w:t>ompreendendo os benefícios da documentação, administrativ</w:t>
      </w:r>
      <w:r w:rsidR="00E052B5">
        <w:t>a</w:t>
      </w:r>
      <w:r>
        <w:t>, judiciári</w:t>
      </w:r>
      <w:r w:rsidR="00E052B5">
        <w:t>a</w:t>
      </w:r>
      <w:r>
        <w:t xml:space="preserve"> </w:t>
      </w:r>
      <w:r w:rsidR="00E052B5">
        <w:t xml:space="preserve">e da </w:t>
      </w:r>
      <w:r>
        <w:t>diplom</w:t>
      </w:r>
      <w:r w:rsidR="00E052B5">
        <w:t>ática,</w:t>
      </w:r>
      <w:r>
        <w:t xml:space="preserve"> </w:t>
      </w:r>
      <w:r w:rsidR="00A65180">
        <w:t>legisla-se</w:t>
      </w:r>
      <w:r>
        <w:t xml:space="preserve"> </w:t>
      </w:r>
      <w:r w:rsidR="00A65180">
        <w:t>a</w:t>
      </w:r>
      <w:r>
        <w:t xml:space="preserve"> </w:t>
      </w:r>
      <w:r w:rsidR="00807D47">
        <w:t xml:space="preserve">custódia </w:t>
      </w:r>
      <w:r>
        <w:t>centraliza</w:t>
      </w:r>
      <w:r w:rsidR="00807D47">
        <w:t>da</w:t>
      </w:r>
      <w:r>
        <w:t xml:space="preserve"> dos documentos disseminados pelo país, das paróquias, </w:t>
      </w:r>
      <w:r w:rsidR="00E052B5">
        <w:t>d</w:t>
      </w:r>
      <w:r>
        <w:t>os notários</w:t>
      </w:r>
      <w:r w:rsidR="00E052B5">
        <w:t>, das províncias e d</w:t>
      </w:r>
      <w:r>
        <w:t>os arquivos privados.</w:t>
      </w:r>
      <w:r w:rsidR="00A65180">
        <w:t xml:space="preserve"> </w:t>
      </w:r>
      <w:r w:rsidR="007E187B">
        <w:t xml:space="preserve">Surgem assim os </w:t>
      </w:r>
      <w:r w:rsidR="007E187B" w:rsidRPr="007E187B">
        <w:rPr>
          <w:i/>
        </w:rPr>
        <w:t>Archives Nationales</w:t>
      </w:r>
      <w:r w:rsidR="007E187B">
        <w:rPr>
          <w:rStyle w:val="FootnoteReference"/>
          <w:i/>
        </w:rPr>
        <w:footnoteReference w:id="3"/>
      </w:r>
      <w:r w:rsidR="007E187B">
        <w:t xml:space="preserve"> com a Lei 7 de Messidor (25 de Junho de 1794)</w:t>
      </w:r>
      <w:r w:rsidR="007E187B">
        <w:rPr>
          <w:rStyle w:val="FootnoteReference"/>
        </w:rPr>
        <w:footnoteReference w:id="4"/>
      </w:r>
      <w:r w:rsidR="007E187B">
        <w:t xml:space="preserve">. </w:t>
      </w:r>
      <w:r w:rsidR="00A65180">
        <w:t xml:space="preserve">Contudo, surgem </w:t>
      </w:r>
      <w:r w:rsidR="00E052B5">
        <w:t>algumas novi</w:t>
      </w:r>
      <w:r w:rsidR="00A65180">
        <w:t>dades</w:t>
      </w:r>
      <w:r w:rsidR="00807D47">
        <w:t>:</w:t>
      </w:r>
      <w:r w:rsidR="00A65180">
        <w:t xml:space="preserve"> A abertura destes depósitos </w:t>
      </w:r>
      <w:r w:rsidR="00807D47">
        <w:t>documentais</w:t>
      </w:r>
      <w:r w:rsidR="00A65180">
        <w:t xml:space="preserve"> aos cidadãos que deles necessitem, o que obriga à prestação de serviços, até aí nunca praticados de forma maciça; a diferenciação entre documentos de interesse administrativo</w:t>
      </w:r>
      <w:r w:rsidR="00807D47">
        <w:t xml:space="preserve"> actual</w:t>
      </w:r>
      <w:r w:rsidR="00A65180">
        <w:t>, de interesse histórico, pela sua antiguidade e os de interesse científico</w:t>
      </w:r>
      <w:r w:rsidR="00807D47">
        <w:t xml:space="preserve"> ou educativo</w:t>
      </w:r>
      <w:r w:rsidR="00E052B5">
        <w:t xml:space="preserve"> e a constituição de um órgão de nacional e superintendência</w:t>
      </w:r>
      <w:r w:rsidR="00E052B5">
        <w:rPr>
          <w:rStyle w:val="FootnoteReference"/>
        </w:rPr>
        <w:footnoteReference w:id="5"/>
      </w:r>
      <w:r w:rsidR="00E052B5">
        <w:t xml:space="preserve"> para os arquivos</w:t>
      </w:r>
      <w:r w:rsidR="00A65180">
        <w:t xml:space="preserve">. Enquanto os primeiros ficam à guarda directa das instituições do </w:t>
      </w:r>
      <w:r w:rsidR="00AD5AB5">
        <w:t>E</w:t>
      </w:r>
      <w:r w:rsidR="00A65180">
        <w:t>stado, os segundos são remetidos para museus</w:t>
      </w:r>
      <w:r w:rsidR="00807D47">
        <w:t>,</w:t>
      </w:r>
      <w:r w:rsidR="00A65180">
        <w:t xml:space="preserve"> bibliotecas</w:t>
      </w:r>
      <w:r w:rsidR="00807D47">
        <w:t xml:space="preserve"> e Universidades</w:t>
      </w:r>
      <w:r w:rsidR="00A65180">
        <w:t xml:space="preserve">. </w:t>
      </w:r>
      <w:r w:rsidR="00AD5AB5">
        <w:t xml:space="preserve">Demonstra-se assim a razão de </w:t>
      </w:r>
      <w:r w:rsidR="00A65180">
        <w:t xml:space="preserve">Verney com a </w:t>
      </w:r>
      <w:r w:rsidR="00A65180" w:rsidRPr="005556B7">
        <w:rPr>
          <w:i/>
        </w:rPr>
        <w:t>«ineficácia da mente humana para ver tudo por si»</w:t>
      </w:r>
      <w:r w:rsidR="00AD5AB5" w:rsidRPr="00AD5AB5">
        <w:t xml:space="preserve"> </w:t>
      </w:r>
      <w:r w:rsidR="00AD5AB5">
        <w:t xml:space="preserve">pois o Estado, patrimonialista, não </w:t>
      </w:r>
      <w:r w:rsidR="00807D47">
        <w:t>possuía</w:t>
      </w:r>
      <w:r w:rsidR="00AD5AB5">
        <w:t xml:space="preserve"> os meios para receber tamanha quantidade de documentos e quase </w:t>
      </w:r>
      <w:r w:rsidR="00807D47">
        <w:t xml:space="preserve">se </w:t>
      </w:r>
      <w:r w:rsidR="00AD5AB5">
        <w:t>verific</w:t>
      </w:r>
      <w:r w:rsidR="00807D47">
        <w:t>ou</w:t>
      </w:r>
      <w:r w:rsidR="00AD5AB5">
        <w:t xml:space="preserve"> a ruptura </w:t>
      </w:r>
      <w:r w:rsidR="00807D47">
        <w:t xml:space="preserve">dos arquivos </w:t>
      </w:r>
      <w:r w:rsidR="00AD5AB5">
        <w:t>que, para a evitar, decide descentraliz</w:t>
      </w:r>
      <w:r w:rsidR="00807D47">
        <w:t>á-los</w:t>
      </w:r>
      <w:r w:rsidR="00AD5AB5">
        <w:t xml:space="preserve"> pelas comunas e diversas regiões administrativas de onde, muitas vezes, os documentos tinham sido inicialmente expropriados. Todavia</w:t>
      </w:r>
      <w:r w:rsidR="00807D47">
        <w:t>,</w:t>
      </w:r>
      <w:r w:rsidR="00AD5AB5">
        <w:t xml:space="preserve"> com esta medida, apesar dos erros </w:t>
      </w:r>
      <w:r w:rsidR="00861640">
        <w:t xml:space="preserve">irremediavelmente </w:t>
      </w:r>
      <w:r w:rsidR="00AD5AB5">
        <w:t xml:space="preserve">cometidos, </w:t>
      </w:r>
      <w:r w:rsidR="00807D47">
        <w:t xml:space="preserve">tentou-se </w:t>
      </w:r>
      <w:r w:rsidR="00AD5AB5">
        <w:t>corrig</w:t>
      </w:r>
      <w:r w:rsidR="00807D47">
        <w:t>ir</w:t>
      </w:r>
      <w:r w:rsidR="00AD5AB5">
        <w:t xml:space="preserve"> o erro da </w:t>
      </w:r>
      <w:r w:rsidR="00807D47">
        <w:t>“</w:t>
      </w:r>
      <w:r w:rsidR="00AD5AB5">
        <w:t>centralização</w:t>
      </w:r>
      <w:r w:rsidR="00807D47">
        <w:t>”</w:t>
      </w:r>
      <w:r w:rsidR="00AD5AB5">
        <w:t xml:space="preserve"> e o de retirar os documentos da sua </w:t>
      </w:r>
      <w:r w:rsidR="00861640">
        <w:t>origem</w:t>
      </w:r>
      <w:r w:rsidR="00A8273A">
        <w:t>,</w:t>
      </w:r>
      <w:r w:rsidR="00AD5AB5">
        <w:t xml:space="preserve"> o que vai contra o “princípio da proveniência”</w:t>
      </w:r>
      <w:r w:rsidR="004E1005">
        <w:rPr>
          <w:rStyle w:val="FootnoteReference"/>
        </w:rPr>
        <w:footnoteReference w:id="6"/>
      </w:r>
      <w:r w:rsidR="00AD5AB5">
        <w:t>.</w:t>
      </w:r>
    </w:p>
    <w:p w:rsidR="00CF5A51" w:rsidRDefault="00AD5AB5" w:rsidP="00EC6AA9">
      <w:pPr>
        <w:spacing w:line="360" w:lineRule="auto"/>
        <w:ind w:firstLine="680"/>
        <w:jc w:val="both"/>
      </w:pPr>
      <w:r>
        <w:t xml:space="preserve">A História, enquanto disciplina afirma-se com as portas dos museus e bibliotecas abertas. Dá-se o início à exploração de tanta informação pesquisando-a, trabalhando-a muitas vezes a proveito da ideologia do </w:t>
      </w:r>
      <w:r w:rsidR="004E1005">
        <w:t>E</w:t>
      </w:r>
      <w:r>
        <w:t>stado, para assim se afirmar</w:t>
      </w:r>
      <w:r w:rsidR="004E1005">
        <w:t>, legitimar</w:t>
      </w:r>
      <w:r>
        <w:t xml:space="preserve"> e valorizar, mesmo </w:t>
      </w:r>
      <w:r>
        <w:lastRenderedPageBreak/>
        <w:t>que para tanto a História seja reinterpretada</w:t>
      </w:r>
      <w:r w:rsidR="004E1005">
        <w:t xml:space="preserve"> e</w:t>
      </w:r>
      <w:r>
        <w:t xml:space="preserve"> reconstruída</w:t>
      </w:r>
      <w:r w:rsidR="002A48D5">
        <w:t>;</w:t>
      </w:r>
      <w:r w:rsidR="002C62C4">
        <w:t xml:space="preserve"> a Identidade comum se</w:t>
      </w:r>
      <w:r w:rsidR="002A48D5">
        <w:t xml:space="preserve"> consolide, correndo também o risco de ser modelada à sombra de ideologias mais </w:t>
      </w:r>
      <w:r w:rsidR="004E1005">
        <w:t xml:space="preserve">ou menos </w:t>
      </w:r>
      <w:r w:rsidR="002A48D5">
        <w:t>perversas</w:t>
      </w:r>
      <w:r w:rsidR="00CF5A51">
        <w:t xml:space="preserve"> que, como diz SILVA</w:t>
      </w:r>
      <w:r w:rsidR="00CF5A51" w:rsidRPr="00CF5A51">
        <w:t xml:space="preserve"> (2010: 24), “a ideia de política cultural pode remeter para os regimes totalitários.”</w:t>
      </w:r>
    </w:p>
    <w:p w:rsidR="00861640" w:rsidRDefault="00861640" w:rsidP="00EC6AA9">
      <w:pPr>
        <w:spacing w:line="360" w:lineRule="auto"/>
        <w:ind w:firstLine="680"/>
        <w:jc w:val="both"/>
      </w:pPr>
      <w:r>
        <w:t xml:space="preserve">Os cidadãos, </w:t>
      </w:r>
      <w:r w:rsidR="006A38F2">
        <w:t xml:space="preserve">colectores mas </w:t>
      </w:r>
      <w:r>
        <w:t>agora utilizadores</w:t>
      </w:r>
      <w:r w:rsidR="004E1005">
        <w:t xml:space="preserve"> e </w:t>
      </w:r>
      <w:r>
        <w:t>consumidores destes acervos que, tantos documentos produziram e então disponibilizaram, obriga</w:t>
      </w:r>
      <w:r w:rsidR="006A38F2">
        <w:t>m</w:t>
      </w:r>
      <w:r>
        <w:t xml:space="preserve"> a uma resposta mais tecnicista, ainda que empírica, promovendo índices, catálogos e inventários.</w:t>
      </w:r>
    </w:p>
    <w:p w:rsidR="004E1005" w:rsidRDefault="004E1005" w:rsidP="00EC6AA9">
      <w:pPr>
        <w:tabs>
          <w:tab w:val="num" w:pos="1440"/>
        </w:tabs>
        <w:spacing w:line="360" w:lineRule="auto"/>
        <w:ind w:firstLine="680"/>
        <w:jc w:val="both"/>
      </w:pPr>
      <w:r>
        <w:t>Após a II Guerra Mundial, com a criação da UNESCO e de outros organismos similares, alguns deles criados pela própria UNESCO, como é o</w:t>
      </w:r>
      <w:r w:rsidR="00CF5A51">
        <w:t xml:space="preserve"> caso da </w:t>
      </w:r>
      <w:r>
        <w:t>I</w:t>
      </w:r>
      <w:r w:rsidR="00CF5A51">
        <w:t>C</w:t>
      </w:r>
      <w:r>
        <w:t>A</w:t>
      </w:r>
      <w:r w:rsidR="00E81CAC">
        <w:rPr>
          <w:rStyle w:val="FootnoteReference"/>
        </w:rPr>
        <w:footnoteReference w:id="7"/>
      </w:r>
      <w:r>
        <w:t xml:space="preserve"> (</w:t>
      </w:r>
      <w:r w:rsidR="00CF5A51" w:rsidRPr="00CF5A51">
        <w:t>Int</w:t>
      </w:r>
      <w:r w:rsidR="00CF5A51">
        <w:t>ernational Council on Archives</w:t>
      </w:r>
      <w:r w:rsidR="006A38F2">
        <w:t>)</w:t>
      </w:r>
      <w:r w:rsidR="00B51A2E">
        <w:t xml:space="preserve"> ou</w:t>
      </w:r>
      <w:r w:rsidR="006A38F2">
        <w:t xml:space="preserve"> programas</w:t>
      </w:r>
      <w:r w:rsidR="00E81CAC">
        <w:t xml:space="preserve"> associados</w:t>
      </w:r>
      <w:r w:rsidR="00CF5A51">
        <w:rPr>
          <w:rStyle w:val="FootnoteReference"/>
        </w:rPr>
        <w:footnoteReference w:id="8"/>
      </w:r>
      <w:r w:rsidR="006A38F2">
        <w:t xml:space="preserve"> (UNISIST, NATIS e PGI), nascidos e pensados </w:t>
      </w:r>
      <w:r w:rsidR="009472BF">
        <w:t xml:space="preserve">para </w:t>
      </w:r>
      <w:r w:rsidR="006A38F2">
        <w:t xml:space="preserve">a democratização e </w:t>
      </w:r>
      <w:r w:rsidR="009472BF">
        <w:t>abolição de barreiras no acesso à informação</w:t>
      </w:r>
      <w:r w:rsidR="00E8060D">
        <w:t>,</w:t>
      </w:r>
      <w:r w:rsidR="009472BF">
        <w:t xml:space="preserve"> à cultura</w:t>
      </w:r>
      <w:r w:rsidR="00E8060D">
        <w:t xml:space="preserve"> e</w:t>
      </w:r>
      <w:r w:rsidR="009472BF">
        <w:t xml:space="preserve">, também não menos importante, para o estudo científico, teórico e normalização de práticas no tratamento da </w:t>
      </w:r>
      <w:r w:rsidR="00E8060D">
        <w:t>D</w:t>
      </w:r>
      <w:r w:rsidR="009472BF">
        <w:t>ocumentação e da Informação que, conduzem ao surgimento de várias ferramentas, como as linguagens documentais, para uma melhor organização e representação da informação</w:t>
      </w:r>
      <w:r w:rsidR="00A37ACE">
        <w:t>,</w:t>
      </w:r>
      <w:r w:rsidR="00E81CAC">
        <w:t xml:space="preserve"> como resposta à grande produção documental surgida no seio das universidades, da Guerra Fria </w:t>
      </w:r>
      <w:r w:rsidR="00A37ACE">
        <w:t>a</w:t>
      </w:r>
      <w:r w:rsidR="00E81CAC">
        <w:t xml:space="preserve"> </w:t>
      </w:r>
      <w:r w:rsidR="00A37ACE">
        <w:t xml:space="preserve">que se juntam </w:t>
      </w:r>
      <w:r w:rsidR="00E81CAC">
        <w:t>a informática e as tecnologias de informação e comunicação</w:t>
      </w:r>
      <w:r w:rsidR="00A37ACE">
        <w:t xml:space="preserve"> para dar um maior impulso e eficiência no tratamento documental.</w:t>
      </w:r>
    </w:p>
    <w:p w:rsidR="00A37ACE" w:rsidRDefault="00A37ACE" w:rsidP="00EC6AA9">
      <w:pPr>
        <w:tabs>
          <w:tab w:val="num" w:pos="1440"/>
        </w:tabs>
        <w:spacing w:line="360" w:lineRule="auto"/>
        <w:ind w:firstLine="680"/>
        <w:jc w:val="both"/>
      </w:pPr>
      <w:r>
        <w:t xml:space="preserve">As instituições e os utilizadores, colectores e produtores, </w:t>
      </w:r>
      <w:r w:rsidR="00664A48">
        <w:t>a</w:t>
      </w:r>
      <w:r w:rsidR="00AB7E31">
        <w:t xml:space="preserve">gora também </w:t>
      </w:r>
      <w:r>
        <w:t>seleccionam e difundem a informação</w:t>
      </w:r>
      <w:r w:rsidR="003440E1">
        <w:t xml:space="preserve"> e, alteraram o sentido dos fluxos</w:t>
      </w:r>
      <w:r>
        <w:t xml:space="preserve"> </w:t>
      </w:r>
      <w:r w:rsidR="003440E1">
        <w:t xml:space="preserve">de informação, </w:t>
      </w:r>
      <w:r>
        <w:t xml:space="preserve">que lhes é pertinente </w:t>
      </w:r>
      <w:r w:rsidR="003440E1">
        <w:t>e satisfaz as necessidades</w:t>
      </w:r>
      <w:r>
        <w:t xml:space="preserve"> </w:t>
      </w:r>
      <w:r w:rsidR="00626A68">
        <w:t>da</w:t>
      </w:r>
      <w:r>
        <w:t xml:space="preserve"> sua actividade, seja ela</w:t>
      </w:r>
      <w:r w:rsidR="00AB7E31">
        <w:t xml:space="preserve"> qual for</w:t>
      </w:r>
      <w:r>
        <w:t>.</w:t>
      </w:r>
    </w:p>
    <w:p w:rsidR="00E81CAC" w:rsidRDefault="00AC67FD" w:rsidP="00EC6AA9">
      <w:pPr>
        <w:tabs>
          <w:tab w:val="num" w:pos="1440"/>
        </w:tabs>
        <w:spacing w:line="360" w:lineRule="auto"/>
        <w:ind w:firstLine="680"/>
        <w:jc w:val="both"/>
      </w:pPr>
      <w:r>
        <w:t xml:space="preserve">Assim, apesar da evolução e da tomada de eficiência quer dos técnicos quer das técnicas, como também do comportamento dos indivíduos e das organizações ao longo do tempo que, </w:t>
      </w:r>
      <w:r w:rsidR="00AB7E31">
        <w:t xml:space="preserve">figuras centrais, </w:t>
      </w:r>
      <w:r>
        <w:t>de colectores passam também a produzir</w:t>
      </w:r>
      <w:r w:rsidR="008F00A3">
        <w:t xml:space="preserve"> e finalmente</w:t>
      </w:r>
      <w:r>
        <w:t xml:space="preserve"> a seleccionar, a transformar e a difundir informação e conhecimento, d</w:t>
      </w:r>
      <w:r w:rsidR="00AB7E31">
        <w:t>o mesmo</w:t>
      </w:r>
      <w:r>
        <w:t xml:space="preserve"> modo que a História do Homem relativa à agricultura</w:t>
      </w:r>
      <w:r w:rsidR="00AB7E31">
        <w:t>. C</w:t>
      </w:r>
      <w:r w:rsidR="007B351A">
        <w:t xml:space="preserve">omo António de Verney </w:t>
      </w:r>
      <w:r w:rsidR="007B351A" w:rsidRPr="00AB7E31">
        <w:rPr>
          <w:i/>
        </w:rPr>
        <w:t>insinuou</w:t>
      </w:r>
      <w:r w:rsidR="007B351A">
        <w:t xml:space="preserve"> com a </w:t>
      </w:r>
      <w:r w:rsidR="007B351A" w:rsidRPr="005556B7">
        <w:rPr>
          <w:i/>
        </w:rPr>
        <w:t>«ineficácia da mente humana para ver tudo por si»</w:t>
      </w:r>
      <w:r w:rsidR="007B351A">
        <w:rPr>
          <w:i/>
        </w:rPr>
        <w:t>,</w:t>
      </w:r>
      <w:r w:rsidR="007B351A" w:rsidRPr="007B351A">
        <w:t xml:space="preserve"> toda esta eficiência</w:t>
      </w:r>
      <w:r w:rsidR="007B351A">
        <w:t xml:space="preserve"> e evolução</w:t>
      </w:r>
      <w:r w:rsidR="00A8273A">
        <w:t xml:space="preserve"> tecnológica, nesta </w:t>
      </w:r>
      <w:r w:rsidR="00A8273A" w:rsidRPr="008F00A3">
        <w:rPr>
          <w:i/>
        </w:rPr>
        <w:t xml:space="preserve">Era </w:t>
      </w:r>
      <w:r w:rsidR="00A8273A" w:rsidRPr="00A8273A">
        <w:rPr>
          <w:i/>
        </w:rPr>
        <w:t>Googliana</w:t>
      </w:r>
      <w:r w:rsidR="00A8273A">
        <w:t>,</w:t>
      </w:r>
      <w:r w:rsidR="007B351A">
        <w:t xml:space="preserve"> tende a virar-se contra nós ao to</w:t>
      </w:r>
      <w:r w:rsidR="00AB7E31">
        <w:t>rnarmo-nos</w:t>
      </w:r>
      <w:r w:rsidR="007B351A">
        <w:t xml:space="preserve"> </w:t>
      </w:r>
      <w:r w:rsidR="00AB7E31">
        <w:t xml:space="preserve">displicentes </w:t>
      </w:r>
      <w:r w:rsidR="007B351A">
        <w:t xml:space="preserve">e </w:t>
      </w:r>
      <w:r w:rsidR="00AB7E31">
        <w:t xml:space="preserve">isso potencialmente </w:t>
      </w:r>
      <w:r w:rsidR="007B351A">
        <w:t>conduzir-nos a colapsos políticos, sociais e económicos</w:t>
      </w:r>
      <w:r w:rsidR="00AB7E31">
        <w:t>, qual terra estéril,</w:t>
      </w:r>
      <w:r w:rsidR="00A8273A">
        <w:t xml:space="preserve"> ao tomar</w:t>
      </w:r>
      <w:r w:rsidR="00EC6AA9">
        <w:t>em-se</w:t>
      </w:r>
      <w:r w:rsidR="00A8273A">
        <w:t xml:space="preserve"> decisões </w:t>
      </w:r>
      <w:r w:rsidR="00EC6AA9">
        <w:t>automáticas</w:t>
      </w:r>
      <w:r w:rsidR="008F00A3">
        <w:rPr>
          <w:rStyle w:val="FootnoteReference"/>
        </w:rPr>
        <w:footnoteReference w:id="9"/>
      </w:r>
      <w:r w:rsidR="00EC6AA9">
        <w:t xml:space="preserve"> </w:t>
      </w:r>
      <w:r w:rsidR="008F00A3">
        <w:t>e</w:t>
      </w:r>
      <w:r w:rsidR="007B351A">
        <w:t>m milésimo</w:t>
      </w:r>
      <w:r w:rsidR="008F00A3">
        <w:t>s</w:t>
      </w:r>
      <w:r w:rsidR="007B351A">
        <w:t xml:space="preserve"> de segundo, sem qualquer tipo de controlo, </w:t>
      </w:r>
      <w:r w:rsidR="00EC6AA9">
        <w:t>que afectam drasticamente a vida das pessoas, naquele mesmo intervalo de tempo.</w:t>
      </w:r>
      <w:r w:rsidR="007B351A">
        <w:t xml:space="preserve"> </w:t>
      </w:r>
    </w:p>
    <w:p w:rsidR="009D1EB0" w:rsidRDefault="009D1EB0" w:rsidP="008E65DF">
      <w:pPr>
        <w:spacing w:after="120" w:line="360" w:lineRule="auto"/>
        <w:rPr>
          <w:b/>
        </w:rPr>
      </w:pPr>
    </w:p>
    <w:p w:rsidR="0048113F" w:rsidRDefault="001E5B37" w:rsidP="008E65DF">
      <w:pPr>
        <w:spacing w:after="120" w:line="360" w:lineRule="auto"/>
        <w:rPr>
          <w:b/>
        </w:rPr>
      </w:pPr>
      <w:r w:rsidRPr="001E5B37">
        <w:rPr>
          <w:b/>
        </w:rPr>
        <w:t>Bibliografia</w:t>
      </w:r>
    </w:p>
    <w:p w:rsidR="0035664C" w:rsidRPr="0035664C" w:rsidRDefault="0035664C" w:rsidP="0035664C">
      <w:pPr>
        <w:spacing w:after="120" w:line="360" w:lineRule="auto"/>
        <w:ind w:left="1134" w:hanging="851"/>
      </w:pPr>
      <w:r w:rsidRPr="0035664C">
        <w:t xml:space="preserve">SARAIVA, António J. e Lopes, Óscar. 2010. </w:t>
      </w:r>
      <w:r w:rsidRPr="0035664C">
        <w:rPr>
          <w:i/>
        </w:rPr>
        <w:t>HISTÓRIA DA LITERATURA PORTUGUESA</w:t>
      </w:r>
      <w:r w:rsidRPr="0035664C">
        <w:t>. 17. Lisboa: Porto Editora</w:t>
      </w:r>
    </w:p>
    <w:p w:rsidR="0035664C" w:rsidRPr="0035664C" w:rsidRDefault="0035664C" w:rsidP="0035664C">
      <w:pPr>
        <w:spacing w:after="120" w:line="360" w:lineRule="auto"/>
        <w:ind w:left="1134" w:hanging="851"/>
      </w:pPr>
      <w:r w:rsidRPr="0035664C">
        <w:t xml:space="preserve">SILVA, Armando Malheiro da e RIBEIRO, Fernanda. 2010. </w:t>
      </w:r>
      <w:r w:rsidRPr="0035664C">
        <w:rPr>
          <w:i/>
        </w:rPr>
        <w:t>Recursos de Informação: Serviços e Utilizadores</w:t>
      </w:r>
      <w:r w:rsidRPr="0035664C">
        <w:t>. Lisboa: Universidade Aberta</w:t>
      </w:r>
    </w:p>
    <w:p w:rsidR="0035664C" w:rsidRPr="0035664C" w:rsidRDefault="0035664C" w:rsidP="0035664C">
      <w:pPr>
        <w:spacing w:after="120" w:line="360" w:lineRule="auto"/>
        <w:ind w:left="1134" w:hanging="851"/>
      </w:pPr>
      <w:r w:rsidRPr="0035664C">
        <w:t xml:space="preserve">SILVA, Armando Malheiro da, </w:t>
      </w:r>
      <w:r>
        <w:t>[</w:t>
      </w:r>
      <w:proofErr w:type="spellStart"/>
      <w:r w:rsidRPr="0035664C">
        <w:t>et</w:t>
      </w:r>
      <w:proofErr w:type="spellEnd"/>
      <w:r w:rsidRPr="0035664C">
        <w:t xml:space="preserve"> </w:t>
      </w:r>
      <w:proofErr w:type="spellStart"/>
      <w:r w:rsidRPr="0035664C">
        <w:t>al</w:t>
      </w:r>
      <w:proofErr w:type="spellEnd"/>
      <w:r>
        <w:t>]</w:t>
      </w:r>
      <w:r w:rsidRPr="0035664C">
        <w:t xml:space="preserve">. 2009. </w:t>
      </w:r>
      <w:r w:rsidRPr="0035664C">
        <w:rPr>
          <w:i/>
        </w:rPr>
        <w:t>Arquivística: Teoria e prática de uma ciência da informação</w:t>
      </w:r>
      <w:r w:rsidRPr="0035664C">
        <w:t>. 3. Lisboa: Afrontamento</w:t>
      </w:r>
    </w:p>
    <w:p w:rsidR="009471C9" w:rsidRDefault="009471C9" w:rsidP="009471C9">
      <w:pPr>
        <w:spacing w:after="120" w:line="360" w:lineRule="auto"/>
        <w:ind w:left="1134" w:hanging="851"/>
        <w:rPr>
          <w:b/>
        </w:rPr>
      </w:pPr>
    </w:p>
    <w:p w:rsidR="00733AB2" w:rsidRPr="009471C9" w:rsidRDefault="009471C9" w:rsidP="009732F6">
      <w:pPr>
        <w:spacing w:after="120" w:line="360" w:lineRule="auto"/>
        <w:ind w:left="709" w:hanging="709"/>
        <w:rPr>
          <w:b/>
        </w:rPr>
      </w:pPr>
      <w:r w:rsidRPr="009471C9">
        <w:rPr>
          <w:b/>
        </w:rPr>
        <w:t>Webgrafia</w:t>
      </w:r>
    </w:p>
    <w:p w:rsidR="009471C9" w:rsidRDefault="009471C9" w:rsidP="009471C9">
      <w:pPr>
        <w:spacing w:after="120" w:line="360" w:lineRule="auto"/>
        <w:ind w:left="993" w:hanging="709"/>
      </w:pPr>
      <w:proofErr w:type="spellStart"/>
      <w:r>
        <w:t>Organisation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archives</w:t>
      </w:r>
      <w:proofErr w:type="spellEnd"/>
      <w:r>
        <w:t xml:space="preserve">. </w:t>
      </w:r>
      <w:r w:rsidR="0096074B">
        <w:t>“</w:t>
      </w:r>
      <w:proofErr w:type="spellStart"/>
      <w:r>
        <w:t>Loi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7 </w:t>
      </w:r>
      <w:proofErr w:type="spellStart"/>
      <w:r>
        <w:t>Messidor</w:t>
      </w:r>
      <w:proofErr w:type="spellEnd"/>
      <w:r w:rsidR="0096074B">
        <w:t>”</w:t>
      </w:r>
      <w:r>
        <w:t xml:space="preserve">. </w:t>
      </w:r>
      <w:hyperlink r:id="rId10" w:history="1">
        <w:r w:rsidR="0035664C" w:rsidRPr="008055AF">
          <w:rPr>
            <w:rStyle w:val="Hyperlink"/>
          </w:rPr>
          <w:t>http://www.legilux.public.lu/rgl/1794/A/0002/Z.pdf</w:t>
        </w:r>
      </w:hyperlink>
      <w:r w:rsidR="0035664C">
        <w:t>, 2012-04-13</w:t>
      </w:r>
    </w:p>
    <w:p w:rsidR="0035664C" w:rsidRDefault="0035664C" w:rsidP="009471C9">
      <w:pPr>
        <w:spacing w:after="120" w:line="360" w:lineRule="auto"/>
        <w:ind w:left="993" w:hanging="709"/>
      </w:pPr>
    </w:p>
    <w:p w:rsidR="00C947BE" w:rsidRDefault="00C947BE" w:rsidP="009471C9">
      <w:pPr>
        <w:spacing w:after="120" w:line="360" w:lineRule="auto"/>
        <w:ind w:left="993" w:hanging="709"/>
      </w:pPr>
      <w:bookmarkStart w:id="0" w:name="_GoBack"/>
      <w:bookmarkEnd w:id="0"/>
    </w:p>
    <w:p w:rsidR="00C947BE" w:rsidRDefault="00C947BE" w:rsidP="009471C9">
      <w:pPr>
        <w:spacing w:after="120" w:line="360" w:lineRule="auto"/>
        <w:ind w:left="993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342"/>
        <w:gridCol w:w="691"/>
        <w:gridCol w:w="1843"/>
        <w:gridCol w:w="3841"/>
      </w:tblGrid>
      <w:tr w:rsidR="00C947BE" w:rsidTr="00C947BE">
        <w:tc>
          <w:tcPr>
            <w:tcW w:w="1384" w:type="dxa"/>
            <w:vAlign w:val="center"/>
            <w:hideMark/>
          </w:tcPr>
          <w:p w:rsidR="00C947BE" w:rsidRDefault="00C947BE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Item Notas</w:t>
            </w:r>
          </w:p>
        </w:tc>
        <w:tc>
          <w:tcPr>
            <w:tcW w:w="1342" w:type="dxa"/>
            <w:vAlign w:val="center"/>
            <w:hideMark/>
          </w:tcPr>
          <w:p w:rsidR="00C947BE" w:rsidRDefault="00C947BE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Área</w:t>
            </w:r>
          </w:p>
        </w:tc>
        <w:tc>
          <w:tcPr>
            <w:tcW w:w="691" w:type="dxa"/>
            <w:vAlign w:val="center"/>
            <w:hideMark/>
          </w:tcPr>
          <w:p w:rsidR="00C947BE" w:rsidRDefault="00C947BE" w:rsidP="00C947BE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843" w:type="dxa"/>
            <w:vAlign w:val="center"/>
            <w:hideMark/>
          </w:tcPr>
          <w:p w:rsidR="00C947BE" w:rsidRDefault="00C947BE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841" w:type="dxa"/>
            <w:vAlign w:val="center"/>
            <w:hideMark/>
          </w:tcPr>
          <w:p w:rsidR="00C947BE" w:rsidRDefault="00C947BE">
            <w:pPr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</w:p>
        </w:tc>
      </w:tr>
      <w:tr w:rsidR="00C947BE" w:rsidRPr="00C947BE" w:rsidTr="00C947BE">
        <w:tc>
          <w:tcPr>
            <w:tcW w:w="1384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hyperlink r:id="rId11" w:history="1">
              <w:r w:rsidRPr="00C947BE">
                <w:rPr>
                  <w:noProof/>
                  <w:color w:val="0C2D51"/>
                </w:rPr>
                <w:drawing>
                  <wp:inline distT="0" distB="0" distL="0" distR="0" wp14:anchorId="2B67AE62" wp14:editId="4399B7F3">
                    <wp:extent cx="152400" cy="152400"/>
                    <wp:effectExtent l="0" t="0" r="0" b="0"/>
                    <wp:docPr id="6" name="Picture 6" descr="Trabalho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947BE">
                <w:rPr>
                  <w:rStyle w:val="Hyperlink"/>
                </w:rPr>
                <w:t>E-fólio A</w:t>
              </w:r>
            </w:hyperlink>
          </w:p>
        </w:tc>
        <w:tc>
          <w:tcPr>
            <w:tcW w:w="1342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Avaliação electrónica</w:t>
            </w:r>
          </w:p>
        </w:tc>
        <w:tc>
          <w:tcPr>
            <w:tcW w:w="691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3,60</w:t>
            </w:r>
          </w:p>
        </w:tc>
        <w:tc>
          <w:tcPr>
            <w:tcW w:w="1843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90,00 %</w:t>
            </w:r>
          </w:p>
        </w:tc>
        <w:tc>
          <w:tcPr>
            <w:tcW w:w="3841" w:type="dxa"/>
            <w:hideMark/>
          </w:tcPr>
          <w:p w:rsidR="00C947BE" w:rsidRPr="00C947BE" w:rsidRDefault="00C947BE" w:rsidP="00C947BE">
            <w:pPr>
              <w:pStyle w:val="NormalWeb"/>
              <w:rPr>
                <w:color w:val="000000"/>
              </w:rPr>
            </w:pPr>
            <w:r w:rsidRPr="00C947BE">
              <w:rPr>
                <w:color w:val="000000"/>
              </w:rPr>
              <w:t xml:space="preserve">Muito bom trabalho com referências de bibliografia suplementar e citações para reforçar a sua argumentação. Com uma nota de rodapé explicativa (as outras podem também entrar como </w:t>
            </w:r>
            <w:proofErr w:type="spellStart"/>
            <w:r w:rsidRPr="00C947BE">
              <w:rPr>
                <w:color w:val="000000"/>
              </w:rPr>
              <w:t>ref</w:t>
            </w:r>
            <w:proofErr w:type="spellEnd"/>
            <w:r w:rsidRPr="00C947BE">
              <w:rPr>
                <w:color w:val="000000"/>
              </w:rPr>
              <w:t xml:space="preserve">. bibl. no texto, por ex.: nº 3: (Silva e Ribeiro, 2010: 17). </w:t>
            </w:r>
            <w:proofErr w:type="spellStart"/>
            <w:r w:rsidRPr="00C947BE">
              <w:rPr>
                <w:color w:val="000000"/>
              </w:rPr>
              <w:t>Ref.bibl</w:t>
            </w:r>
            <w:proofErr w:type="spellEnd"/>
            <w:r w:rsidRPr="00C947BE">
              <w:rPr>
                <w:color w:val="000000"/>
              </w:rPr>
              <w:t>. e bibliografia não sempre conforme as normas estabelecidas.</w:t>
            </w:r>
          </w:p>
        </w:tc>
      </w:tr>
      <w:tr w:rsidR="00C947BE" w:rsidRPr="00C947BE" w:rsidTr="00C947BE">
        <w:tc>
          <w:tcPr>
            <w:tcW w:w="1384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hyperlink r:id="rId13" w:history="1">
              <w:r w:rsidRPr="00C947BE">
                <w:rPr>
                  <w:noProof/>
                  <w:color w:val="0C2D51"/>
                </w:rPr>
                <w:drawing>
                  <wp:inline distT="0" distB="0" distL="0" distR="0" wp14:anchorId="7B32B0A7" wp14:editId="62AFEC87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947BE">
                <w:rPr>
                  <w:rStyle w:val="Hyperlink"/>
                </w:rPr>
                <w:t>E-fólio B</w:t>
              </w:r>
            </w:hyperlink>
          </w:p>
        </w:tc>
        <w:tc>
          <w:tcPr>
            <w:tcW w:w="1342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Avaliação electrónica</w:t>
            </w:r>
          </w:p>
        </w:tc>
        <w:tc>
          <w:tcPr>
            <w:tcW w:w="691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-</w:t>
            </w:r>
          </w:p>
        </w:tc>
        <w:tc>
          <w:tcPr>
            <w:tcW w:w="1843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-</w:t>
            </w:r>
          </w:p>
        </w:tc>
        <w:tc>
          <w:tcPr>
            <w:tcW w:w="3841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</w:p>
        </w:tc>
      </w:tr>
      <w:tr w:rsidR="00C947BE" w:rsidRPr="00C947BE" w:rsidTr="00C947BE">
        <w:tc>
          <w:tcPr>
            <w:tcW w:w="1384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noProof/>
                <w:color w:val="000000"/>
              </w:rPr>
              <w:drawing>
                <wp:inline distT="0" distB="0" distL="0" distR="0" wp14:anchorId="1211EC9C" wp14:editId="54AECFEC">
                  <wp:extent cx="152400" cy="152400"/>
                  <wp:effectExtent l="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7BE">
              <w:rPr>
                <w:rStyle w:val="categoryitem2"/>
                <w:color w:val="000000"/>
              </w:rPr>
              <w:t>E-fólios</w:t>
            </w:r>
          </w:p>
        </w:tc>
        <w:tc>
          <w:tcPr>
            <w:tcW w:w="1342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categoryitem2"/>
                <w:color w:val="000000"/>
              </w:rPr>
              <w:t>Avaliação electrónica</w:t>
            </w:r>
          </w:p>
        </w:tc>
        <w:tc>
          <w:tcPr>
            <w:tcW w:w="691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categoryitem2"/>
                <w:color w:val="000000"/>
              </w:rPr>
              <w:t>3,60</w:t>
            </w:r>
          </w:p>
        </w:tc>
        <w:tc>
          <w:tcPr>
            <w:tcW w:w="1843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categoryitem2"/>
                <w:color w:val="000000"/>
              </w:rPr>
              <w:t>45,00 %</w:t>
            </w:r>
          </w:p>
        </w:tc>
        <w:tc>
          <w:tcPr>
            <w:tcW w:w="3841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</w:p>
        </w:tc>
      </w:tr>
      <w:tr w:rsidR="00C947BE" w:rsidRPr="00C947BE" w:rsidTr="00C947BE">
        <w:tc>
          <w:tcPr>
            <w:tcW w:w="1384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hyperlink r:id="rId15" w:history="1">
              <w:r w:rsidRPr="00C947BE">
                <w:rPr>
                  <w:noProof/>
                  <w:color w:val="0C2D51"/>
                </w:rPr>
                <w:drawing>
                  <wp:inline distT="0" distB="0" distL="0" distR="0" wp14:anchorId="516B73DD" wp14:editId="2248CB0A">
                    <wp:extent cx="152400" cy="152400"/>
                    <wp:effectExtent l="0" t="0" r="0" b="0"/>
                    <wp:docPr id="3" name="Picture 3" descr="Trabalho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rabalho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947BE">
                <w:rPr>
                  <w:rStyle w:val="Hyperlink"/>
                </w:rPr>
                <w:t>P-fólio</w:t>
              </w:r>
            </w:hyperlink>
          </w:p>
        </w:tc>
        <w:tc>
          <w:tcPr>
            <w:tcW w:w="1342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Avaliação Contínua</w:t>
            </w:r>
          </w:p>
        </w:tc>
        <w:tc>
          <w:tcPr>
            <w:tcW w:w="691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-</w:t>
            </w:r>
          </w:p>
        </w:tc>
        <w:tc>
          <w:tcPr>
            <w:tcW w:w="1843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gradeitem"/>
                <w:color w:val="000000"/>
              </w:rPr>
              <w:t>-</w:t>
            </w:r>
          </w:p>
        </w:tc>
        <w:tc>
          <w:tcPr>
            <w:tcW w:w="3841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</w:p>
        </w:tc>
      </w:tr>
      <w:tr w:rsidR="00C947BE" w:rsidRPr="00C947BE" w:rsidTr="00C947BE">
        <w:tc>
          <w:tcPr>
            <w:tcW w:w="1384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noProof/>
                <w:color w:val="000000"/>
              </w:rPr>
              <w:drawing>
                <wp:inline distT="0" distB="0" distL="0" distR="0" wp14:anchorId="5DA20BBC" wp14:editId="2CA9019E">
                  <wp:extent cx="152400" cy="152400"/>
                  <wp:effectExtent l="0" t="0" r="0" b="0"/>
                  <wp:docPr id="2" name="Picture 2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47BE">
              <w:rPr>
                <w:rStyle w:val="categoryitem2"/>
                <w:color w:val="000000"/>
              </w:rPr>
              <w:t>Pontos acumulados</w:t>
            </w:r>
          </w:p>
        </w:tc>
        <w:tc>
          <w:tcPr>
            <w:tcW w:w="1342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  <w:r w:rsidRPr="00C947BE">
              <w:rPr>
                <w:rStyle w:val="categoryitem2"/>
                <w:color w:val="000000"/>
              </w:rPr>
              <w:t>Avaliação Contínua</w:t>
            </w:r>
          </w:p>
        </w:tc>
        <w:tc>
          <w:tcPr>
            <w:tcW w:w="691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categoryitem2"/>
                <w:color w:val="000000"/>
              </w:rPr>
              <w:t>3,60</w:t>
            </w:r>
          </w:p>
        </w:tc>
        <w:tc>
          <w:tcPr>
            <w:tcW w:w="1843" w:type="dxa"/>
            <w:hideMark/>
          </w:tcPr>
          <w:p w:rsidR="00C947BE" w:rsidRPr="00C947BE" w:rsidRDefault="00C947BE" w:rsidP="00C947BE">
            <w:pPr>
              <w:jc w:val="center"/>
              <w:rPr>
                <w:color w:val="000000"/>
              </w:rPr>
            </w:pPr>
            <w:r w:rsidRPr="00C947BE">
              <w:rPr>
                <w:rStyle w:val="categoryitem2"/>
                <w:color w:val="000000"/>
              </w:rPr>
              <w:t>18,00 %</w:t>
            </w:r>
          </w:p>
        </w:tc>
        <w:tc>
          <w:tcPr>
            <w:tcW w:w="3841" w:type="dxa"/>
            <w:hideMark/>
          </w:tcPr>
          <w:p w:rsidR="00C947BE" w:rsidRPr="00C947BE" w:rsidRDefault="00C947BE">
            <w:pPr>
              <w:rPr>
                <w:color w:val="000000"/>
              </w:rPr>
            </w:pPr>
          </w:p>
        </w:tc>
      </w:tr>
    </w:tbl>
    <w:p w:rsidR="00C947BE" w:rsidRDefault="00C947BE" w:rsidP="009471C9">
      <w:pPr>
        <w:spacing w:after="120" w:line="360" w:lineRule="auto"/>
        <w:ind w:left="993" w:hanging="709"/>
      </w:pPr>
    </w:p>
    <w:sectPr w:rsidR="00C947BE" w:rsidSect="00B51A2E">
      <w:footerReference w:type="even" r:id="rId16"/>
      <w:footerReference w:type="default" r:id="rId1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4E" w:rsidRDefault="0026144E">
      <w:r>
        <w:separator/>
      </w:r>
    </w:p>
  </w:endnote>
  <w:endnote w:type="continuationSeparator" w:id="0">
    <w:p w:rsidR="0026144E" w:rsidRDefault="0026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A8" w:rsidRDefault="00C361A8" w:rsidP="006F4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1A8" w:rsidRDefault="00C36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A8" w:rsidRDefault="00C361A8" w:rsidP="006F41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7BE">
      <w:rPr>
        <w:rStyle w:val="PageNumber"/>
        <w:noProof/>
      </w:rPr>
      <w:t>5</w:t>
    </w:r>
    <w:r>
      <w:rPr>
        <w:rStyle w:val="PageNumber"/>
      </w:rPr>
      <w:fldChar w:fldCharType="end"/>
    </w:r>
  </w:p>
  <w:p w:rsidR="00C361A8" w:rsidRDefault="00C36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4E" w:rsidRDefault="0026144E">
      <w:r>
        <w:separator/>
      </w:r>
    </w:p>
  </w:footnote>
  <w:footnote w:type="continuationSeparator" w:id="0">
    <w:p w:rsidR="0026144E" w:rsidRDefault="0026144E">
      <w:r>
        <w:continuationSeparator/>
      </w:r>
    </w:p>
  </w:footnote>
  <w:footnote w:id="1">
    <w:p w:rsidR="000B4752" w:rsidRPr="007E187B" w:rsidRDefault="000B4752" w:rsidP="000B4752">
      <w:pPr>
        <w:pStyle w:val="FootnoteText"/>
      </w:pPr>
      <w:r w:rsidRPr="007E187B">
        <w:rPr>
          <w:rStyle w:val="FootnoteReference"/>
        </w:rPr>
        <w:footnoteRef/>
      </w:r>
      <w:r w:rsidRPr="007E187B">
        <w:t xml:space="preserve"> Declaração Universal dos Direitos do Homem. [em linha] disponível em </w:t>
      </w:r>
      <w:hyperlink r:id="rId1" w:history="1">
        <w:r w:rsidRPr="007E187B">
          <w:rPr>
            <w:rStyle w:val="Hyperlink"/>
          </w:rPr>
          <w:t>http://dre.pt/comum/html/legis/dudh.html</w:t>
        </w:r>
      </w:hyperlink>
      <w:r w:rsidR="00C74486" w:rsidRPr="007E187B">
        <w:rPr>
          <w:rStyle w:val="Hyperlink"/>
        </w:rPr>
        <w:t xml:space="preserve"> </w:t>
      </w:r>
      <w:r w:rsidRPr="007E187B">
        <w:rPr>
          <w:rStyle w:val="Hyperlink"/>
          <w:color w:val="auto"/>
          <w:u w:val="none"/>
        </w:rPr>
        <w:t>(acedido em 2012-04-12)</w:t>
      </w:r>
    </w:p>
  </w:footnote>
  <w:footnote w:id="2">
    <w:p w:rsidR="005556B7" w:rsidRPr="007E187B" w:rsidRDefault="005556B7">
      <w:pPr>
        <w:pStyle w:val="FootnoteText"/>
      </w:pPr>
      <w:r w:rsidRPr="007E187B">
        <w:rPr>
          <w:rStyle w:val="FootnoteReference"/>
        </w:rPr>
        <w:footnoteRef/>
      </w:r>
      <w:r w:rsidRPr="007E187B">
        <w:t xml:space="preserve"> S</w:t>
      </w:r>
      <w:r w:rsidR="004E1005" w:rsidRPr="007E187B">
        <w:t>ARAIVA</w:t>
      </w:r>
      <w:r w:rsidRPr="007E187B">
        <w:t>, 2010: 574</w:t>
      </w:r>
    </w:p>
  </w:footnote>
  <w:footnote w:id="3">
    <w:p w:rsidR="007E187B" w:rsidRPr="007E187B" w:rsidRDefault="007E187B">
      <w:pPr>
        <w:pStyle w:val="FootnoteText"/>
      </w:pPr>
      <w:r w:rsidRPr="007E187B">
        <w:rPr>
          <w:rStyle w:val="FootnoteReference"/>
        </w:rPr>
        <w:footnoteRef/>
      </w:r>
      <w:r w:rsidRPr="007E187B">
        <w:t xml:space="preserve"> SILVA, 2010: 17</w:t>
      </w:r>
    </w:p>
  </w:footnote>
  <w:footnote w:id="4">
    <w:p w:rsidR="007E187B" w:rsidRPr="007E187B" w:rsidRDefault="007E187B">
      <w:pPr>
        <w:pStyle w:val="FootnoteText"/>
      </w:pPr>
      <w:r w:rsidRPr="007E187B">
        <w:rPr>
          <w:rStyle w:val="FootnoteReference"/>
        </w:rPr>
        <w:footnoteRef/>
      </w:r>
      <w:r w:rsidRPr="007E187B">
        <w:t xml:space="preserve"> </w:t>
      </w:r>
      <w:proofErr w:type="spellStart"/>
      <w:r w:rsidRPr="007E187B">
        <w:t>Organisation</w:t>
      </w:r>
      <w:proofErr w:type="spellEnd"/>
      <w:r w:rsidRPr="007E187B">
        <w:t xml:space="preserve"> </w:t>
      </w:r>
      <w:proofErr w:type="spellStart"/>
      <w:r w:rsidRPr="007E187B">
        <w:t>des</w:t>
      </w:r>
      <w:proofErr w:type="spellEnd"/>
      <w:r w:rsidRPr="007E187B">
        <w:t xml:space="preserve"> </w:t>
      </w:r>
      <w:proofErr w:type="spellStart"/>
      <w:r w:rsidRPr="007E187B">
        <w:t>archives</w:t>
      </w:r>
      <w:proofErr w:type="spellEnd"/>
      <w:r w:rsidRPr="007E187B">
        <w:t xml:space="preserve">. </w:t>
      </w:r>
      <w:proofErr w:type="spellStart"/>
      <w:r w:rsidRPr="007E187B">
        <w:t>Loi</w:t>
      </w:r>
      <w:proofErr w:type="spellEnd"/>
      <w:r w:rsidRPr="007E187B">
        <w:t xml:space="preserve"> </w:t>
      </w:r>
      <w:proofErr w:type="spellStart"/>
      <w:r w:rsidRPr="007E187B">
        <w:t>Du</w:t>
      </w:r>
      <w:proofErr w:type="spellEnd"/>
      <w:r w:rsidRPr="007E187B">
        <w:t xml:space="preserve"> 7 </w:t>
      </w:r>
      <w:proofErr w:type="spellStart"/>
      <w:r w:rsidRPr="007E187B">
        <w:t>Messidor</w:t>
      </w:r>
      <w:proofErr w:type="spellEnd"/>
      <w:r w:rsidRPr="007E187B">
        <w:t xml:space="preserve">. </w:t>
      </w:r>
      <w:hyperlink r:id="rId2" w:history="1">
        <w:r w:rsidRPr="007E187B">
          <w:rPr>
            <w:rStyle w:val="Hyperlink"/>
          </w:rPr>
          <w:t>http://www.legilux.public.lu/rgl/1794/A/0002/Z.pdf</w:t>
        </w:r>
      </w:hyperlink>
      <w:r w:rsidR="009B4BCD">
        <w:t xml:space="preserve">, </w:t>
      </w:r>
      <w:r w:rsidRPr="007E187B">
        <w:t>12-04-13</w:t>
      </w:r>
    </w:p>
  </w:footnote>
  <w:footnote w:id="5">
    <w:p w:rsidR="00E052B5" w:rsidRDefault="00E052B5">
      <w:pPr>
        <w:pStyle w:val="FootnoteText"/>
      </w:pPr>
      <w:r>
        <w:rPr>
          <w:rStyle w:val="FootnoteReference"/>
        </w:rPr>
        <w:footnoteRef/>
      </w:r>
      <w:r>
        <w:t xml:space="preserve"> SILVA, 2009: 101</w:t>
      </w:r>
    </w:p>
  </w:footnote>
  <w:footnote w:id="6">
    <w:p w:rsidR="004E1005" w:rsidRDefault="004E1005">
      <w:pPr>
        <w:pStyle w:val="FootnoteText"/>
      </w:pPr>
      <w:r w:rsidRPr="007E187B">
        <w:rPr>
          <w:rStyle w:val="FootnoteReference"/>
        </w:rPr>
        <w:footnoteRef/>
      </w:r>
      <w:r w:rsidRPr="007E187B">
        <w:t xml:space="preserve"> </w:t>
      </w:r>
      <w:r w:rsidR="00E052B5" w:rsidRPr="00E052B5">
        <w:rPr>
          <w:i/>
        </w:rPr>
        <w:t>Idem</w:t>
      </w:r>
      <w:r w:rsidR="00E052B5">
        <w:t>, p.</w:t>
      </w:r>
      <w:r w:rsidRPr="007E187B">
        <w:t xml:space="preserve"> 206</w:t>
      </w:r>
    </w:p>
  </w:footnote>
  <w:footnote w:id="7">
    <w:p w:rsidR="00E81CAC" w:rsidRDefault="00E81CAC" w:rsidP="00E81C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8055AF">
          <w:rPr>
            <w:rStyle w:val="Hyperlink"/>
          </w:rPr>
          <w:t>http://www.ica.org/</w:t>
        </w:r>
      </w:hyperlink>
      <w:r>
        <w:t xml:space="preserve"> </w:t>
      </w:r>
    </w:p>
  </w:footnote>
  <w:footnote w:id="8">
    <w:p w:rsidR="00CF5A51" w:rsidRDefault="00CF5A51" w:rsidP="00CF5A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1CAC">
        <w:t xml:space="preserve">cf. </w:t>
      </w:r>
      <w:r>
        <w:t>SILVA, 2010:26</w:t>
      </w:r>
    </w:p>
  </w:footnote>
  <w:footnote w:id="9">
    <w:p w:rsidR="008F00A3" w:rsidRDefault="008F00A3" w:rsidP="008F00A3">
      <w:pPr>
        <w:pStyle w:val="FootnoteText"/>
      </w:pPr>
      <w:r>
        <w:rPr>
          <w:rStyle w:val="FootnoteReference"/>
        </w:rPr>
        <w:footnoteRef/>
      </w:r>
      <w:r>
        <w:t xml:space="preserve"> Observem-se as recentes notícias sobre transacções nos mercados, através de «algoritmos», que já causaram amiúde pequenos colapsos, ou outras em que a evolução tecnológica levou ao despedimento colectivo de inúmeros </w:t>
      </w:r>
      <w:proofErr w:type="spellStart"/>
      <w:r w:rsidRPr="00EC6AA9">
        <w:rPr>
          <w:i/>
        </w:rPr>
        <w:t>traders</w:t>
      </w:r>
      <w:proofErr w:type="spellEnd"/>
      <w:r>
        <w:t>, ditos tradicionais, e levou ao encerramento de vários sistemas de negociação.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0"/>
      </w:rPr>
    </w:lvl>
  </w:abstractNum>
  <w:abstractNum w:abstractNumId="1">
    <w:nsid w:val="3CB6532E"/>
    <w:multiLevelType w:val="hybridMultilevel"/>
    <w:tmpl w:val="E340AB52"/>
    <w:lvl w:ilvl="0" w:tplc="A548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980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61EF7"/>
    <w:multiLevelType w:val="hybridMultilevel"/>
    <w:tmpl w:val="65EC9B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9"/>
    <w:rsid w:val="00001DC3"/>
    <w:rsid w:val="00003A7A"/>
    <w:rsid w:val="00015C87"/>
    <w:rsid w:val="00017902"/>
    <w:rsid w:val="00030AD6"/>
    <w:rsid w:val="00031D96"/>
    <w:rsid w:val="00070D53"/>
    <w:rsid w:val="00072AC5"/>
    <w:rsid w:val="000B4752"/>
    <w:rsid w:val="000D3B59"/>
    <w:rsid w:val="000E7BD5"/>
    <w:rsid w:val="000F5CFC"/>
    <w:rsid w:val="00142A42"/>
    <w:rsid w:val="00143A6F"/>
    <w:rsid w:val="001C7A17"/>
    <w:rsid w:val="001E5B37"/>
    <w:rsid w:val="001F30CC"/>
    <w:rsid w:val="00211FAB"/>
    <w:rsid w:val="002263FC"/>
    <w:rsid w:val="0023358F"/>
    <w:rsid w:val="0023507B"/>
    <w:rsid w:val="00253A52"/>
    <w:rsid w:val="0026144E"/>
    <w:rsid w:val="002A0281"/>
    <w:rsid w:val="002A4688"/>
    <w:rsid w:val="002A48D5"/>
    <w:rsid w:val="002B0407"/>
    <w:rsid w:val="002C62C4"/>
    <w:rsid w:val="002D5649"/>
    <w:rsid w:val="002F2696"/>
    <w:rsid w:val="0032212C"/>
    <w:rsid w:val="00324EB4"/>
    <w:rsid w:val="003440E1"/>
    <w:rsid w:val="0035664C"/>
    <w:rsid w:val="003646BC"/>
    <w:rsid w:val="0036653B"/>
    <w:rsid w:val="00366FDA"/>
    <w:rsid w:val="00376C02"/>
    <w:rsid w:val="003F4CEA"/>
    <w:rsid w:val="003F72A4"/>
    <w:rsid w:val="003F79AE"/>
    <w:rsid w:val="004561DF"/>
    <w:rsid w:val="0048113F"/>
    <w:rsid w:val="004A5A19"/>
    <w:rsid w:val="004B4A07"/>
    <w:rsid w:val="004B7A53"/>
    <w:rsid w:val="004C4D93"/>
    <w:rsid w:val="004E1005"/>
    <w:rsid w:val="005012B7"/>
    <w:rsid w:val="00505AF1"/>
    <w:rsid w:val="00511180"/>
    <w:rsid w:val="005164B3"/>
    <w:rsid w:val="005262AD"/>
    <w:rsid w:val="005556B7"/>
    <w:rsid w:val="005600BC"/>
    <w:rsid w:val="005D699A"/>
    <w:rsid w:val="005E5571"/>
    <w:rsid w:val="0060468F"/>
    <w:rsid w:val="00615FF3"/>
    <w:rsid w:val="00616842"/>
    <w:rsid w:val="00626A68"/>
    <w:rsid w:val="00660ADD"/>
    <w:rsid w:val="00664A48"/>
    <w:rsid w:val="006A38F2"/>
    <w:rsid w:val="006E1C06"/>
    <w:rsid w:val="006F416A"/>
    <w:rsid w:val="00710A37"/>
    <w:rsid w:val="0071373E"/>
    <w:rsid w:val="00722138"/>
    <w:rsid w:val="007304B3"/>
    <w:rsid w:val="00733AB2"/>
    <w:rsid w:val="0074553A"/>
    <w:rsid w:val="00753E39"/>
    <w:rsid w:val="007615DF"/>
    <w:rsid w:val="00780A26"/>
    <w:rsid w:val="007A3956"/>
    <w:rsid w:val="007B351A"/>
    <w:rsid w:val="007E187B"/>
    <w:rsid w:val="00807D47"/>
    <w:rsid w:val="00845A97"/>
    <w:rsid w:val="00861640"/>
    <w:rsid w:val="00863B97"/>
    <w:rsid w:val="00883269"/>
    <w:rsid w:val="00890913"/>
    <w:rsid w:val="008B4EB8"/>
    <w:rsid w:val="008E0D08"/>
    <w:rsid w:val="008E65DF"/>
    <w:rsid w:val="008F00A3"/>
    <w:rsid w:val="008F6DE2"/>
    <w:rsid w:val="00946EE2"/>
    <w:rsid w:val="009471C9"/>
    <w:rsid w:val="009472BF"/>
    <w:rsid w:val="00953D6D"/>
    <w:rsid w:val="00960464"/>
    <w:rsid w:val="0096074B"/>
    <w:rsid w:val="009653D3"/>
    <w:rsid w:val="009732F6"/>
    <w:rsid w:val="009B4BCD"/>
    <w:rsid w:val="009C357F"/>
    <w:rsid w:val="009C7553"/>
    <w:rsid w:val="009D1EB0"/>
    <w:rsid w:val="00A208C7"/>
    <w:rsid w:val="00A37ACE"/>
    <w:rsid w:val="00A65180"/>
    <w:rsid w:val="00A72DF3"/>
    <w:rsid w:val="00A8181E"/>
    <w:rsid w:val="00A8273A"/>
    <w:rsid w:val="00AB7E31"/>
    <w:rsid w:val="00AC67FD"/>
    <w:rsid w:val="00AD0971"/>
    <w:rsid w:val="00AD1739"/>
    <w:rsid w:val="00AD4E7D"/>
    <w:rsid w:val="00AD5AB5"/>
    <w:rsid w:val="00B30995"/>
    <w:rsid w:val="00B34861"/>
    <w:rsid w:val="00B51A2E"/>
    <w:rsid w:val="00B55EDA"/>
    <w:rsid w:val="00B918EA"/>
    <w:rsid w:val="00BA0892"/>
    <w:rsid w:val="00C30BB8"/>
    <w:rsid w:val="00C361A8"/>
    <w:rsid w:val="00C63C89"/>
    <w:rsid w:val="00C74486"/>
    <w:rsid w:val="00C947BE"/>
    <w:rsid w:val="00C965C2"/>
    <w:rsid w:val="00CA6722"/>
    <w:rsid w:val="00CB77D3"/>
    <w:rsid w:val="00CC0927"/>
    <w:rsid w:val="00CC1838"/>
    <w:rsid w:val="00CC5437"/>
    <w:rsid w:val="00CD588F"/>
    <w:rsid w:val="00CD617E"/>
    <w:rsid w:val="00CD7032"/>
    <w:rsid w:val="00CF5A51"/>
    <w:rsid w:val="00D660AA"/>
    <w:rsid w:val="00DA1E59"/>
    <w:rsid w:val="00DA4DB5"/>
    <w:rsid w:val="00E052B5"/>
    <w:rsid w:val="00E20B3E"/>
    <w:rsid w:val="00E60828"/>
    <w:rsid w:val="00E8060D"/>
    <w:rsid w:val="00E81376"/>
    <w:rsid w:val="00E81CAC"/>
    <w:rsid w:val="00E82079"/>
    <w:rsid w:val="00E93CF5"/>
    <w:rsid w:val="00EC2378"/>
    <w:rsid w:val="00EC6AA9"/>
    <w:rsid w:val="00EE545D"/>
    <w:rsid w:val="00F111BC"/>
    <w:rsid w:val="00F329A4"/>
    <w:rsid w:val="00F33649"/>
    <w:rsid w:val="00F8798E"/>
    <w:rsid w:val="00FA353B"/>
    <w:rsid w:val="00FC5B1A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2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3F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12F9"/>
    <w:pPr>
      <w:spacing w:before="100" w:beforeAutospacing="1" w:after="100" w:afterAutospacing="1"/>
    </w:pPr>
  </w:style>
  <w:style w:type="paragraph" w:styleId="BodyText">
    <w:name w:val="Body Text"/>
    <w:basedOn w:val="Normal"/>
    <w:rsid w:val="00FF12F9"/>
    <w:pPr>
      <w:jc w:val="both"/>
    </w:pPr>
    <w:rPr>
      <w:szCs w:val="20"/>
    </w:rPr>
  </w:style>
  <w:style w:type="table" w:styleId="TableGrid">
    <w:name w:val="Table Grid"/>
    <w:basedOn w:val="TableNormal"/>
    <w:rsid w:val="00FF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46EE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6EE2"/>
  </w:style>
  <w:style w:type="paragraph" w:styleId="BalloonText">
    <w:name w:val="Balloon Text"/>
    <w:basedOn w:val="Normal"/>
    <w:link w:val="BalloonTextChar"/>
    <w:rsid w:val="0096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3D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8113F"/>
  </w:style>
  <w:style w:type="character" w:customStyle="1" w:styleId="Heading1Char">
    <w:name w:val="Heading 1 Char"/>
    <w:link w:val="Heading1"/>
    <w:uiPriority w:val="9"/>
    <w:rsid w:val="0048113F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styleId="Hyperlink">
    <w:name w:val="Hyperlink"/>
    <w:basedOn w:val="DefaultParagraphFont"/>
    <w:rsid w:val="00604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046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0B4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752"/>
  </w:style>
  <w:style w:type="character" w:styleId="FootnoteReference">
    <w:name w:val="footnote reference"/>
    <w:basedOn w:val="DefaultParagraphFont"/>
    <w:rsid w:val="000B4752"/>
    <w:rPr>
      <w:vertAlign w:val="superscript"/>
    </w:rPr>
  </w:style>
  <w:style w:type="paragraph" w:styleId="EndnoteText">
    <w:name w:val="endnote text"/>
    <w:basedOn w:val="Normal"/>
    <w:link w:val="EndnoteTextChar"/>
    <w:rsid w:val="009472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72BF"/>
  </w:style>
  <w:style w:type="character" w:styleId="EndnoteReference">
    <w:name w:val="endnote reference"/>
    <w:basedOn w:val="DefaultParagraphFont"/>
    <w:rsid w:val="009472BF"/>
    <w:rPr>
      <w:vertAlign w:val="superscript"/>
    </w:rPr>
  </w:style>
  <w:style w:type="character" w:customStyle="1" w:styleId="gradeitem">
    <w:name w:val="gradeitem"/>
    <w:basedOn w:val="DefaultParagraphFont"/>
    <w:rsid w:val="00C947BE"/>
  </w:style>
  <w:style w:type="character" w:customStyle="1" w:styleId="categoryitem2">
    <w:name w:val="categoryitem2"/>
    <w:basedOn w:val="DefaultParagraphFont"/>
    <w:rsid w:val="00C9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2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3F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12F9"/>
    <w:pPr>
      <w:spacing w:before="100" w:beforeAutospacing="1" w:after="100" w:afterAutospacing="1"/>
    </w:pPr>
  </w:style>
  <w:style w:type="paragraph" w:styleId="BodyText">
    <w:name w:val="Body Text"/>
    <w:basedOn w:val="Normal"/>
    <w:rsid w:val="00FF12F9"/>
    <w:pPr>
      <w:jc w:val="both"/>
    </w:pPr>
    <w:rPr>
      <w:szCs w:val="20"/>
    </w:rPr>
  </w:style>
  <w:style w:type="table" w:styleId="TableGrid">
    <w:name w:val="Table Grid"/>
    <w:basedOn w:val="TableNormal"/>
    <w:rsid w:val="00FF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46EE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6EE2"/>
  </w:style>
  <w:style w:type="paragraph" w:styleId="BalloonText">
    <w:name w:val="Balloon Text"/>
    <w:basedOn w:val="Normal"/>
    <w:link w:val="BalloonTextChar"/>
    <w:rsid w:val="0096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3D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8113F"/>
  </w:style>
  <w:style w:type="character" w:customStyle="1" w:styleId="Heading1Char">
    <w:name w:val="Heading 1 Char"/>
    <w:link w:val="Heading1"/>
    <w:uiPriority w:val="9"/>
    <w:rsid w:val="0048113F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styleId="Hyperlink">
    <w:name w:val="Hyperlink"/>
    <w:basedOn w:val="DefaultParagraphFont"/>
    <w:rsid w:val="00604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046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0B47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752"/>
  </w:style>
  <w:style w:type="character" w:styleId="FootnoteReference">
    <w:name w:val="footnote reference"/>
    <w:basedOn w:val="DefaultParagraphFont"/>
    <w:rsid w:val="000B4752"/>
    <w:rPr>
      <w:vertAlign w:val="superscript"/>
    </w:rPr>
  </w:style>
  <w:style w:type="paragraph" w:styleId="EndnoteText">
    <w:name w:val="endnote text"/>
    <w:basedOn w:val="Normal"/>
    <w:link w:val="EndnoteTextChar"/>
    <w:rsid w:val="009472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72BF"/>
  </w:style>
  <w:style w:type="character" w:styleId="EndnoteReference">
    <w:name w:val="endnote reference"/>
    <w:basedOn w:val="DefaultParagraphFont"/>
    <w:rsid w:val="009472BF"/>
    <w:rPr>
      <w:vertAlign w:val="superscript"/>
    </w:rPr>
  </w:style>
  <w:style w:type="character" w:customStyle="1" w:styleId="gradeitem">
    <w:name w:val="gradeitem"/>
    <w:basedOn w:val="DefaultParagraphFont"/>
    <w:rsid w:val="00C947BE"/>
  </w:style>
  <w:style w:type="character" w:customStyle="1" w:styleId="categoryitem2">
    <w:name w:val="categoryitem2"/>
    <w:basedOn w:val="DefaultParagraphFont"/>
    <w:rsid w:val="00C9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20735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mod/assignment/grade.php?id=20735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assignment/grade.php?id=2073571" TargetMode="External"/><Relationship Id="rId10" Type="http://schemas.openxmlformats.org/officeDocument/2006/relationships/hyperlink" Target="http://www.legilux.public.lu/rgl/1794/A/0002/Z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.org/" TargetMode="External"/><Relationship Id="rId2" Type="http://schemas.openxmlformats.org/officeDocument/2006/relationships/hyperlink" Target="http://www.legilux.public.lu/rgl/1794/A/0002/Z.pdf" TargetMode="External"/><Relationship Id="rId1" Type="http://schemas.openxmlformats.org/officeDocument/2006/relationships/hyperlink" Target="http://dre.pt/comum/html/legis/dud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SIL09</b:Tag>
    <b:SourceType>Book</b:SourceType>
    <b:Guid>{8DAFD950-225A-48EA-8150-DE751F707A8E}</b:Guid>
    <b:Title>Arquivística: Teoria e prática de uma ciência da informação</b:Title>
    <b:Year>2009</b:Year>
    <b:Author>
      <b:Author>
        <b:NameList>
          <b:Person>
            <b:Last>SILVA</b:Last>
            <b:Middle>Malheiro da</b:Middle>
            <b:First>Armando</b:First>
          </b:Person>
          <b:Person>
            <b:Last>RIBEIRO</b:Last>
            <b:First>Fernanda</b:First>
          </b:Person>
          <b:Person>
            <b:Last>RAMOS</b:Last>
            <b:First>Júlio</b:First>
          </b:Person>
          <b:Person>
            <b:Last>Reeal</b:Last>
            <b:Middle>Luís</b:Middle>
            <b:First>Manuel</b:First>
          </b:Person>
        </b:NameList>
      </b:Author>
    </b:Author>
    <b:City>Lisboa</b:City>
    <b:Publisher>Afrontamento</b:Publisher>
    <b:StandardNumber>978-972-36-0483-2</b:StandardNumber>
    <b:Pages>254</b:Pages>
    <b:Edition>3</b:Edition>
    <b:RefOrder>1</b:RefOrder>
  </b:Source>
  <b:Source>
    <b:Tag>SIL10</b:Tag>
    <b:SourceType>Book</b:SourceType>
    <b:Guid>{F4341280-F6A1-4474-8991-4CB13CAF4439}</b:Guid>
    <b:Title>Recursos de Informação: Serviços e Utlizadores</b:Title>
    <b:Year>2010</b:Year>
    <b:City>Lisboa</b:City>
    <b:Publisher>Universidade Aberta</b:Publisher>
    <b:Author>
      <b:Author>
        <b:NameList>
          <b:Person>
            <b:Last>SILVA</b:Last>
            <b:First>Armando</b:First>
            <b:Middle>Malheiro da</b:Middle>
          </b:Person>
          <b:Person>
            <b:Last>RIBEIRO</b:Last>
            <b:First>Fernanda</b:First>
          </b:Person>
        </b:NameList>
      </b:Author>
    </b:Author>
    <b:StandardNumber>978-972-674-672-0</b:StandardNumber>
    <b:Pages>135</b:Pages>
    <b:RefOrder>2</b:RefOrder>
  </b:Source>
  <b:Source>
    <b:Tag>Org13</b:Tag>
    <b:SourceType>DocumentFromInternetSite</b:SourceType>
    <b:Guid>{1EEF3040-5A39-4462-BF3A-34E1494F2C33}</b:Guid>
    <b:Title>Loi Du 7 Messidor</b:Title>
    <b:Author>
      <b:Author>
        <b:Corporate>Organisation des archives</b:Corporate>
      </b:Author>
    </b:Author>
    <b:InternetSiteTitle>Legilux</b:InternetSiteTitle>
    <b:YearAccessed>2012-04-13</b:YearAccessed>
    <b:URL>http://www.legilux.public.lu/rgl/1794/A/0002/Z.pdf</b:URL>
    <b:RefOrder>3</b:RefOrder>
  </b:Source>
  <b:Source>
    <b:Tag>SAR10</b:Tag>
    <b:SourceType>Book</b:SourceType>
    <b:Guid>{2D7B1A98-9DD1-468F-A2E0-CBEBB9E50BC9}</b:Guid>
    <b:Title>HISTÓRIA DA LITERATURA PORTUGUESA</b:Title>
    <b:Year>2010</b:Year>
    <b:Publisher>Porto Editora</b:Publisher>
    <b:Author>
      <b:Author>
        <b:NameList>
          <b:Person>
            <b:Last>SARAIVA</b:Last>
            <b:First>António</b:First>
            <b:Middle>J.</b:Middle>
          </b:Person>
          <b:Person>
            <b:Last>Lopes</b:Last>
            <b:First>Óscar</b:First>
          </b:Person>
        </b:NameList>
      </b:Author>
    </b:Author>
    <b:StandardNumber>978-972-30170-3</b:StandardNumber>
    <b:Pages>1216</b:Pages>
    <b:Edition>17</b:Edition>
    <b:City>Lisboa</b:City>
    <b:RefOrder>4</b:RefOrder>
  </b:Source>
</b:Sources>
</file>

<file path=customXml/itemProps1.xml><?xml version="1.0" encoding="utf-8"?>
<ds:datastoreItem xmlns:ds="http://schemas.openxmlformats.org/officeDocument/2006/customXml" ds:itemID="{12116B62-15E8-450A-AF8A-FC7FAA5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1547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MARQUES</dc:creator>
  <cp:lastModifiedBy>Antonio Cabrita</cp:lastModifiedBy>
  <cp:revision>2</cp:revision>
  <cp:lastPrinted>2012-04-08T11:20:00Z</cp:lastPrinted>
  <dcterms:created xsi:type="dcterms:W3CDTF">2012-04-28T11:38:00Z</dcterms:created>
  <dcterms:modified xsi:type="dcterms:W3CDTF">2012-04-28T11:38:00Z</dcterms:modified>
</cp:coreProperties>
</file>