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34" w:rsidRDefault="007F75AD" w:rsidP="00A82E34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pt-PT"/>
        </w:rPr>
        <w:drawing>
          <wp:inline distT="0" distB="0" distL="0" distR="0">
            <wp:extent cx="5270500" cy="7277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2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E34" w:rsidRPr="00297934" w:rsidRDefault="00A82E34" w:rsidP="00477EC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97934">
        <w:rPr>
          <w:rFonts w:ascii="Times New Roman" w:hAnsi="Times New Roman"/>
          <w:b/>
          <w:sz w:val="32"/>
          <w:szCs w:val="32"/>
        </w:rPr>
        <w:t>31107 – Salvaguarda do Património</w:t>
      </w:r>
      <w:r w:rsidR="00477ECB">
        <w:rPr>
          <w:rFonts w:ascii="Times New Roman" w:hAnsi="Times New Roman"/>
          <w:b/>
          <w:sz w:val="32"/>
          <w:szCs w:val="32"/>
        </w:rPr>
        <w:t xml:space="preserve"> </w:t>
      </w:r>
      <w:r w:rsidRPr="00297934">
        <w:rPr>
          <w:rFonts w:ascii="Times New Roman" w:hAnsi="Times New Roman"/>
          <w:b/>
          <w:sz w:val="32"/>
          <w:szCs w:val="32"/>
        </w:rPr>
        <w:t xml:space="preserve">Construído em Portugal </w:t>
      </w:r>
    </w:p>
    <w:p w:rsidR="00A82E34" w:rsidRPr="00B45AA1" w:rsidRDefault="00B45AA1" w:rsidP="00477EC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5AA1">
        <w:rPr>
          <w:rFonts w:ascii="Times New Roman" w:hAnsi="Times New Roman"/>
          <w:b/>
          <w:sz w:val="24"/>
          <w:szCs w:val="24"/>
        </w:rPr>
        <w:t xml:space="preserve">Nome: </w:t>
      </w:r>
      <w:r w:rsidRPr="00B45AA1">
        <w:rPr>
          <w:rFonts w:ascii="Times New Roman" w:hAnsi="Times New Roman"/>
          <w:b/>
          <w:sz w:val="24"/>
          <w:szCs w:val="24"/>
        </w:rPr>
        <w:tab/>
        <w:t>António José Estêvão Cabrita</w:t>
      </w:r>
    </w:p>
    <w:p w:rsidR="00B45AA1" w:rsidRPr="00B45AA1" w:rsidRDefault="00B45AA1" w:rsidP="00477EC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5AA1">
        <w:rPr>
          <w:rFonts w:ascii="Times New Roman" w:hAnsi="Times New Roman"/>
          <w:b/>
          <w:sz w:val="24"/>
          <w:szCs w:val="24"/>
        </w:rPr>
        <w:t>Número:</w:t>
      </w:r>
      <w:r w:rsidRPr="00B45AA1">
        <w:rPr>
          <w:rFonts w:ascii="Times New Roman" w:hAnsi="Times New Roman"/>
          <w:b/>
          <w:sz w:val="24"/>
          <w:szCs w:val="24"/>
        </w:rPr>
        <w:tab/>
        <w:t>1002404</w:t>
      </w:r>
      <w:r w:rsidRPr="00B45AA1">
        <w:rPr>
          <w:rFonts w:ascii="Times New Roman" w:hAnsi="Times New Roman"/>
          <w:b/>
          <w:sz w:val="24"/>
          <w:szCs w:val="24"/>
        </w:rPr>
        <w:tab/>
      </w:r>
      <w:r w:rsidRPr="00B45AA1">
        <w:rPr>
          <w:rFonts w:ascii="Times New Roman" w:hAnsi="Times New Roman"/>
          <w:b/>
          <w:sz w:val="24"/>
          <w:szCs w:val="24"/>
        </w:rPr>
        <w:tab/>
      </w:r>
      <w:r w:rsidRPr="00B45AA1">
        <w:rPr>
          <w:rFonts w:ascii="Times New Roman" w:hAnsi="Times New Roman"/>
          <w:b/>
          <w:sz w:val="24"/>
          <w:szCs w:val="24"/>
        </w:rPr>
        <w:tab/>
      </w:r>
      <w:r w:rsidRPr="00B45AA1">
        <w:rPr>
          <w:rFonts w:ascii="Times New Roman" w:hAnsi="Times New Roman"/>
          <w:b/>
          <w:sz w:val="24"/>
          <w:szCs w:val="24"/>
        </w:rPr>
        <w:tab/>
      </w:r>
      <w:r w:rsidRPr="00B45AA1">
        <w:rPr>
          <w:rFonts w:ascii="Times New Roman" w:hAnsi="Times New Roman"/>
          <w:b/>
          <w:sz w:val="24"/>
          <w:szCs w:val="24"/>
        </w:rPr>
        <w:tab/>
      </w:r>
      <w:r w:rsidRPr="00B45AA1">
        <w:rPr>
          <w:rFonts w:ascii="Times New Roman" w:hAnsi="Times New Roman"/>
          <w:b/>
          <w:sz w:val="24"/>
          <w:szCs w:val="24"/>
        </w:rPr>
        <w:tab/>
        <w:t>Maio 2012</w:t>
      </w:r>
    </w:p>
    <w:p w:rsidR="00052CAD" w:rsidRDefault="00052CAD" w:rsidP="00477ECB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2E34" w:rsidRPr="00B45AA1" w:rsidRDefault="00B45AA1" w:rsidP="00477ECB">
      <w:pPr>
        <w:spacing w:before="24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B45AA1">
        <w:rPr>
          <w:rFonts w:ascii="Times New Roman" w:hAnsi="Times New Roman"/>
          <w:b/>
          <w:sz w:val="24"/>
          <w:szCs w:val="24"/>
        </w:rPr>
        <w:t>O processo de inventariação do património português</w:t>
      </w:r>
    </w:p>
    <w:p w:rsidR="0028490D" w:rsidRDefault="001F1BE2" w:rsidP="00FD627A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</w:t>
      </w:r>
      <w:r w:rsidR="00334E67">
        <w:rPr>
          <w:rFonts w:ascii="Times New Roman" w:hAnsi="Times New Roman"/>
          <w:bCs/>
          <w:sz w:val="24"/>
          <w:szCs w:val="24"/>
        </w:rPr>
        <w:t xml:space="preserve"> </w:t>
      </w:r>
      <w:r w:rsidR="001B73D1">
        <w:rPr>
          <w:rFonts w:ascii="Times New Roman" w:hAnsi="Times New Roman"/>
          <w:bCs/>
          <w:sz w:val="24"/>
          <w:szCs w:val="24"/>
        </w:rPr>
        <w:t>vasto p</w:t>
      </w:r>
      <w:r w:rsidR="00334E67">
        <w:rPr>
          <w:rFonts w:ascii="Times New Roman" w:hAnsi="Times New Roman"/>
          <w:bCs/>
          <w:sz w:val="24"/>
          <w:szCs w:val="24"/>
        </w:rPr>
        <w:t xml:space="preserve">atrimónio português, inicialmente visto de forma </w:t>
      </w:r>
      <w:r w:rsidR="00633EB1">
        <w:rPr>
          <w:rFonts w:ascii="Times New Roman" w:hAnsi="Times New Roman"/>
          <w:bCs/>
          <w:sz w:val="24"/>
          <w:szCs w:val="24"/>
        </w:rPr>
        <w:t>materialista</w:t>
      </w:r>
      <w:r w:rsidR="00334E67">
        <w:rPr>
          <w:rFonts w:ascii="Times New Roman" w:hAnsi="Times New Roman"/>
          <w:bCs/>
          <w:sz w:val="24"/>
          <w:szCs w:val="24"/>
        </w:rPr>
        <w:t>, por privados, pela Igreja e pelo Estado</w:t>
      </w:r>
      <w:r w:rsidR="001C72E0">
        <w:rPr>
          <w:rFonts w:ascii="Times New Roman" w:hAnsi="Times New Roman"/>
          <w:bCs/>
          <w:sz w:val="24"/>
          <w:szCs w:val="24"/>
        </w:rPr>
        <w:t>,</w:t>
      </w:r>
      <w:r w:rsidR="00334E67">
        <w:rPr>
          <w:rFonts w:ascii="Times New Roman" w:hAnsi="Times New Roman"/>
          <w:bCs/>
          <w:sz w:val="24"/>
          <w:szCs w:val="24"/>
        </w:rPr>
        <w:t xml:space="preserve"> só a partir de meados do século XIX se cria a consciência da sua importância enquanto elemento fundamental e testamentário da nossa cultura e identidade. </w:t>
      </w:r>
      <w:r w:rsidR="00633EB1">
        <w:rPr>
          <w:rFonts w:ascii="Times New Roman" w:hAnsi="Times New Roman"/>
          <w:bCs/>
          <w:sz w:val="24"/>
          <w:szCs w:val="24"/>
        </w:rPr>
        <w:t>Foi a</w:t>
      </w:r>
      <w:r w:rsidR="00FD627A">
        <w:rPr>
          <w:rFonts w:ascii="Times New Roman" w:hAnsi="Times New Roman"/>
          <w:bCs/>
          <w:sz w:val="24"/>
          <w:szCs w:val="24"/>
        </w:rPr>
        <w:t xml:space="preserve"> partir dos movimentos liberais</w:t>
      </w:r>
      <w:r w:rsidR="00633EB1">
        <w:rPr>
          <w:rFonts w:ascii="Times New Roman" w:hAnsi="Times New Roman"/>
          <w:bCs/>
          <w:sz w:val="24"/>
          <w:szCs w:val="24"/>
        </w:rPr>
        <w:t xml:space="preserve"> que</w:t>
      </w:r>
      <w:r w:rsidR="00FD627A">
        <w:rPr>
          <w:rFonts w:ascii="Times New Roman" w:hAnsi="Times New Roman"/>
          <w:bCs/>
          <w:sz w:val="24"/>
          <w:szCs w:val="24"/>
        </w:rPr>
        <w:t xml:space="preserve">, </w:t>
      </w:r>
      <w:r w:rsidR="001E3E3B">
        <w:rPr>
          <w:rFonts w:ascii="Times New Roman" w:hAnsi="Times New Roman"/>
          <w:bCs/>
          <w:sz w:val="24"/>
          <w:szCs w:val="24"/>
        </w:rPr>
        <w:t xml:space="preserve">após </w:t>
      </w:r>
      <w:r w:rsidR="00DF36FC">
        <w:rPr>
          <w:rFonts w:ascii="Times New Roman" w:hAnsi="Times New Roman"/>
          <w:bCs/>
          <w:sz w:val="24"/>
          <w:szCs w:val="24"/>
        </w:rPr>
        <w:t>a segunda metade</w:t>
      </w:r>
      <w:r w:rsidR="00FD627A">
        <w:rPr>
          <w:rFonts w:ascii="Times New Roman" w:hAnsi="Times New Roman"/>
          <w:bCs/>
          <w:sz w:val="24"/>
          <w:szCs w:val="24"/>
        </w:rPr>
        <w:t xml:space="preserve"> do século XVIII, passou a ser inventariado de forma, tanto quanto </w:t>
      </w:r>
      <w:r w:rsidR="002D574D">
        <w:rPr>
          <w:rFonts w:ascii="Times New Roman" w:hAnsi="Times New Roman"/>
          <w:bCs/>
          <w:sz w:val="24"/>
          <w:szCs w:val="24"/>
        </w:rPr>
        <w:t xml:space="preserve">era </w:t>
      </w:r>
      <w:r w:rsidR="00FD627A">
        <w:rPr>
          <w:rFonts w:ascii="Times New Roman" w:hAnsi="Times New Roman"/>
          <w:bCs/>
          <w:sz w:val="24"/>
          <w:szCs w:val="24"/>
        </w:rPr>
        <w:t xml:space="preserve">possível, sistematizada </w:t>
      </w:r>
      <w:r w:rsidR="004569F7">
        <w:rPr>
          <w:rFonts w:ascii="Times New Roman" w:hAnsi="Times New Roman"/>
          <w:bCs/>
          <w:sz w:val="24"/>
          <w:szCs w:val="24"/>
        </w:rPr>
        <w:t xml:space="preserve">e </w:t>
      </w:r>
      <w:r w:rsidR="00FD627A">
        <w:rPr>
          <w:rFonts w:ascii="Times New Roman" w:hAnsi="Times New Roman"/>
          <w:bCs/>
          <w:sz w:val="24"/>
          <w:szCs w:val="24"/>
        </w:rPr>
        <w:t>a nível nacional,</w:t>
      </w:r>
      <w:r w:rsidR="00334E67">
        <w:rPr>
          <w:rFonts w:ascii="Times New Roman" w:hAnsi="Times New Roman"/>
          <w:bCs/>
          <w:sz w:val="24"/>
          <w:szCs w:val="24"/>
        </w:rPr>
        <w:t xml:space="preserve"> apesar de, já antes tivessem sido dados os primeiros passos nesse sentido, </w:t>
      </w:r>
      <w:r w:rsidR="004569F7">
        <w:rPr>
          <w:rFonts w:ascii="Times New Roman" w:hAnsi="Times New Roman"/>
          <w:bCs/>
          <w:sz w:val="24"/>
          <w:szCs w:val="24"/>
        </w:rPr>
        <w:t>terem sido feitas já n</w:t>
      </w:r>
      <w:r w:rsidR="00334E67">
        <w:rPr>
          <w:rFonts w:ascii="Times New Roman" w:hAnsi="Times New Roman"/>
          <w:bCs/>
          <w:sz w:val="24"/>
          <w:szCs w:val="24"/>
        </w:rPr>
        <w:t>o século</w:t>
      </w:r>
      <w:r w:rsidR="00FD627A">
        <w:rPr>
          <w:rFonts w:ascii="Times New Roman" w:hAnsi="Times New Roman"/>
          <w:bCs/>
          <w:sz w:val="24"/>
          <w:szCs w:val="24"/>
        </w:rPr>
        <w:t xml:space="preserve"> </w:t>
      </w:r>
      <w:r w:rsidR="00334E67">
        <w:rPr>
          <w:rFonts w:ascii="Times New Roman" w:hAnsi="Times New Roman"/>
          <w:bCs/>
          <w:sz w:val="24"/>
          <w:szCs w:val="24"/>
        </w:rPr>
        <w:t>XVI várias inventariaç</w:t>
      </w:r>
      <w:r w:rsidR="004569F7">
        <w:rPr>
          <w:rFonts w:ascii="Times New Roman" w:hAnsi="Times New Roman"/>
          <w:bCs/>
          <w:sz w:val="24"/>
          <w:szCs w:val="24"/>
        </w:rPr>
        <w:t>ões</w:t>
      </w:r>
      <w:r w:rsidR="00334E67">
        <w:rPr>
          <w:rFonts w:ascii="Times New Roman" w:hAnsi="Times New Roman"/>
          <w:bCs/>
          <w:sz w:val="24"/>
          <w:szCs w:val="24"/>
        </w:rPr>
        <w:t xml:space="preserve">, </w:t>
      </w:r>
      <w:r w:rsidR="00FD627A">
        <w:rPr>
          <w:rFonts w:ascii="Times New Roman" w:hAnsi="Times New Roman"/>
          <w:bCs/>
          <w:sz w:val="24"/>
          <w:szCs w:val="24"/>
        </w:rPr>
        <w:t>ainda que</w:t>
      </w:r>
      <w:r w:rsidR="00A661E5">
        <w:rPr>
          <w:rFonts w:ascii="Times New Roman" w:hAnsi="Times New Roman"/>
          <w:bCs/>
          <w:sz w:val="24"/>
          <w:szCs w:val="24"/>
        </w:rPr>
        <w:t>,</w:t>
      </w:r>
      <w:r w:rsidR="00FD627A">
        <w:rPr>
          <w:rFonts w:ascii="Times New Roman" w:hAnsi="Times New Roman"/>
          <w:bCs/>
          <w:sz w:val="24"/>
          <w:szCs w:val="24"/>
        </w:rPr>
        <w:t xml:space="preserve"> sobre outras perspectivas, de acordo com as doutrinas que à época vingavam</w:t>
      </w:r>
      <w:r w:rsidR="00341EF4">
        <w:rPr>
          <w:rFonts w:ascii="Times New Roman" w:hAnsi="Times New Roman"/>
          <w:bCs/>
          <w:sz w:val="24"/>
          <w:szCs w:val="24"/>
        </w:rPr>
        <w:t>, nomeadamente</w:t>
      </w:r>
      <w:r w:rsidR="00633EB1">
        <w:rPr>
          <w:rFonts w:ascii="Times New Roman" w:hAnsi="Times New Roman"/>
          <w:bCs/>
          <w:sz w:val="24"/>
          <w:szCs w:val="24"/>
        </w:rPr>
        <w:t>,</w:t>
      </w:r>
      <w:r w:rsidR="00341EF4">
        <w:rPr>
          <w:rFonts w:ascii="Times New Roman" w:hAnsi="Times New Roman"/>
          <w:bCs/>
          <w:sz w:val="24"/>
          <w:szCs w:val="24"/>
        </w:rPr>
        <w:t xml:space="preserve"> a da Contra-Reforma</w:t>
      </w:r>
      <w:r w:rsidR="00FD627A">
        <w:rPr>
          <w:rFonts w:ascii="Times New Roman" w:hAnsi="Times New Roman"/>
          <w:bCs/>
          <w:sz w:val="24"/>
          <w:szCs w:val="24"/>
        </w:rPr>
        <w:t>.</w:t>
      </w:r>
    </w:p>
    <w:p w:rsidR="00477ECB" w:rsidRDefault="00A661E5" w:rsidP="00477ECB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partir do século XVI </w:t>
      </w:r>
      <w:r w:rsidR="000414E7">
        <w:rPr>
          <w:rFonts w:ascii="Times New Roman" w:hAnsi="Times New Roman"/>
          <w:bCs/>
          <w:sz w:val="24"/>
          <w:szCs w:val="24"/>
        </w:rPr>
        <w:t>efectuam-se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2501B">
        <w:rPr>
          <w:rFonts w:ascii="Times New Roman" w:hAnsi="Times New Roman"/>
          <w:bCs/>
          <w:sz w:val="24"/>
          <w:szCs w:val="24"/>
        </w:rPr>
        <w:t>vários</w:t>
      </w:r>
      <w:r>
        <w:rPr>
          <w:rFonts w:ascii="Times New Roman" w:hAnsi="Times New Roman"/>
          <w:bCs/>
          <w:sz w:val="24"/>
          <w:szCs w:val="24"/>
        </w:rPr>
        <w:t xml:space="preserve"> invent</w:t>
      </w:r>
      <w:r w:rsidR="0002501B">
        <w:rPr>
          <w:rFonts w:ascii="Times New Roman" w:hAnsi="Times New Roman"/>
          <w:bCs/>
          <w:sz w:val="24"/>
          <w:szCs w:val="24"/>
        </w:rPr>
        <w:t>á</w:t>
      </w:r>
      <w:r>
        <w:rPr>
          <w:rFonts w:ascii="Times New Roman" w:hAnsi="Times New Roman"/>
          <w:bCs/>
          <w:sz w:val="24"/>
          <w:szCs w:val="24"/>
        </w:rPr>
        <w:t>ri</w:t>
      </w:r>
      <w:r w:rsidR="00763E6A">
        <w:rPr>
          <w:rFonts w:ascii="Times New Roman" w:hAnsi="Times New Roman"/>
          <w:bCs/>
          <w:sz w:val="24"/>
          <w:szCs w:val="24"/>
        </w:rPr>
        <w:t>o</w:t>
      </w:r>
      <w:r w:rsidR="0002501B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do património</w:t>
      </w:r>
      <w:r w:rsidR="00DE46E5">
        <w:rPr>
          <w:rFonts w:ascii="Times New Roman" w:hAnsi="Times New Roman"/>
          <w:bCs/>
          <w:sz w:val="24"/>
          <w:szCs w:val="24"/>
        </w:rPr>
        <w:t xml:space="preserve"> pelas visitações das ordens militares e religiosas, como é o caso</w:t>
      </w:r>
      <w:r w:rsidR="00FE1E8B">
        <w:rPr>
          <w:rFonts w:ascii="Times New Roman" w:hAnsi="Times New Roman"/>
          <w:bCs/>
          <w:sz w:val="24"/>
          <w:szCs w:val="24"/>
        </w:rPr>
        <w:t xml:space="preserve"> das realizadas entre 1507 e 1510 pela Ordem de Cristo</w:t>
      </w:r>
      <w:r w:rsidR="00FE1E8B" w:rsidRPr="00A661E5">
        <w:rPr>
          <w:rStyle w:val="FootnoteReference"/>
          <w:rFonts w:ascii="Times New Roman" w:hAnsi="Times New Roman"/>
          <w:bCs/>
          <w:sz w:val="24"/>
          <w:szCs w:val="24"/>
        </w:rPr>
        <w:t xml:space="preserve"> </w:t>
      </w:r>
      <w:r w:rsidR="00FE1E8B" w:rsidRPr="0028490D">
        <w:rPr>
          <w:rStyle w:val="FootnoteReference"/>
          <w:rFonts w:ascii="Times New Roman" w:hAnsi="Times New Roman"/>
          <w:bCs/>
          <w:sz w:val="24"/>
          <w:szCs w:val="24"/>
        </w:rPr>
        <w:footnoteReference w:id="1"/>
      </w:r>
      <w:r w:rsidR="00FE1E8B">
        <w:rPr>
          <w:rFonts w:ascii="Times New Roman" w:hAnsi="Times New Roman"/>
          <w:bCs/>
          <w:sz w:val="24"/>
          <w:szCs w:val="24"/>
        </w:rPr>
        <w:t>. A</w:t>
      </w:r>
      <w:r w:rsidR="00CA3CB8">
        <w:rPr>
          <w:rFonts w:ascii="Times New Roman" w:hAnsi="Times New Roman"/>
          <w:bCs/>
          <w:sz w:val="24"/>
          <w:szCs w:val="24"/>
        </w:rPr>
        <w:t xml:space="preserve"> </w:t>
      </w:r>
      <w:r w:rsidR="00DE46E5">
        <w:rPr>
          <w:rFonts w:ascii="Times New Roman" w:hAnsi="Times New Roman"/>
          <w:bCs/>
          <w:sz w:val="24"/>
          <w:szCs w:val="24"/>
        </w:rPr>
        <w:t xml:space="preserve">inventariação é então feita a </w:t>
      </w:r>
      <w:r w:rsidR="00CA3CB8">
        <w:rPr>
          <w:rFonts w:ascii="Times New Roman" w:hAnsi="Times New Roman"/>
          <w:bCs/>
          <w:sz w:val="24"/>
          <w:szCs w:val="24"/>
        </w:rPr>
        <w:t xml:space="preserve">uma escala geograficamente ampla, </w:t>
      </w:r>
      <w:r w:rsidR="00FE1E8B">
        <w:rPr>
          <w:rFonts w:ascii="Times New Roman" w:hAnsi="Times New Roman"/>
          <w:bCs/>
          <w:sz w:val="24"/>
          <w:szCs w:val="24"/>
        </w:rPr>
        <w:t>de Norte a Sul do país</w:t>
      </w:r>
      <w:r w:rsidR="00FE1E8B">
        <w:rPr>
          <w:rStyle w:val="FootnoteReference"/>
          <w:rFonts w:ascii="Times New Roman" w:hAnsi="Times New Roman"/>
          <w:bCs/>
          <w:sz w:val="24"/>
          <w:szCs w:val="24"/>
        </w:rPr>
        <w:footnoteReference w:id="2"/>
      </w:r>
      <w:r w:rsidR="00FE1E8B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nomeadamente</w:t>
      </w:r>
      <w:r w:rsidR="00BF323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de peças de arte,</w:t>
      </w:r>
      <w:r w:rsidR="002D574D">
        <w:rPr>
          <w:rFonts w:ascii="Times New Roman" w:hAnsi="Times New Roman"/>
          <w:bCs/>
          <w:sz w:val="24"/>
          <w:szCs w:val="24"/>
        </w:rPr>
        <w:t xml:space="preserve"> como a estatuária, a pintura e a ourivesaria; </w:t>
      </w:r>
      <w:r w:rsidR="0002501B">
        <w:rPr>
          <w:rFonts w:ascii="Times New Roman" w:hAnsi="Times New Roman"/>
          <w:bCs/>
          <w:sz w:val="24"/>
          <w:szCs w:val="24"/>
        </w:rPr>
        <w:t xml:space="preserve">das </w:t>
      </w:r>
      <w:r w:rsidR="002D574D">
        <w:rPr>
          <w:rFonts w:ascii="Times New Roman" w:hAnsi="Times New Roman"/>
          <w:bCs/>
          <w:sz w:val="24"/>
          <w:szCs w:val="24"/>
        </w:rPr>
        <w:t>decorativa</w:t>
      </w:r>
      <w:r w:rsidR="0002501B">
        <w:rPr>
          <w:rFonts w:ascii="Times New Roman" w:hAnsi="Times New Roman"/>
          <w:bCs/>
          <w:sz w:val="24"/>
          <w:szCs w:val="24"/>
        </w:rPr>
        <w:t>s</w:t>
      </w:r>
      <w:r w:rsidR="002D574D">
        <w:rPr>
          <w:rFonts w:ascii="Times New Roman" w:hAnsi="Times New Roman"/>
          <w:bCs/>
          <w:sz w:val="24"/>
          <w:szCs w:val="24"/>
        </w:rPr>
        <w:t xml:space="preserve">, como </w:t>
      </w:r>
      <w:r w:rsidR="00325135">
        <w:rPr>
          <w:rFonts w:ascii="Times New Roman" w:hAnsi="Times New Roman"/>
          <w:bCs/>
          <w:sz w:val="24"/>
          <w:szCs w:val="24"/>
        </w:rPr>
        <w:t xml:space="preserve">os frescos e </w:t>
      </w:r>
      <w:r w:rsidR="002D574D">
        <w:rPr>
          <w:rFonts w:ascii="Times New Roman" w:hAnsi="Times New Roman"/>
          <w:bCs/>
          <w:sz w:val="24"/>
          <w:szCs w:val="24"/>
        </w:rPr>
        <w:t xml:space="preserve">os painéis de azulejos e </w:t>
      </w:r>
      <w:r w:rsidR="0002501B">
        <w:rPr>
          <w:rFonts w:ascii="Times New Roman" w:hAnsi="Times New Roman"/>
          <w:bCs/>
          <w:sz w:val="24"/>
          <w:szCs w:val="24"/>
        </w:rPr>
        <w:t>d</w:t>
      </w:r>
      <w:r w:rsidR="002D574D">
        <w:rPr>
          <w:rFonts w:ascii="Times New Roman" w:hAnsi="Times New Roman"/>
          <w:bCs/>
          <w:sz w:val="24"/>
          <w:szCs w:val="24"/>
        </w:rPr>
        <w:t>a arquitectónica</w:t>
      </w:r>
      <w:r w:rsidR="00633EB1">
        <w:rPr>
          <w:rFonts w:ascii="Times New Roman" w:hAnsi="Times New Roman"/>
          <w:bCs/>
          <w:sz w:val="24"/>
          <w:szCs w:val="24"/>
        </w:rPr>
        <w:t xml:space="preserve"> monumental</w:t>
      </w:r>
      <w:r w:rsidR="00DE46E5">
        <w:rPr>
          <w:rFonts w:ascii="Times New Roman" w:hAnsi="Times New Roman"/>
          <w:bCs/>
          <w:sz w:val="24"/>
          <w:szCs w:val="24"/>
        </w:rPr>
        <w:t>.</w:t>
      </w:r>
      <w:r w:rsidR="00CA3CB8">
        <w:rPr>
          <w:rFonts w:ascii="Times New Roman" w:hAnsi="Times New Roman"/>
          <w:bCs/>
          <w:sz w:val="24"/>
          <w:szCs w:val="24"/>
        </w:rPr>
        <w:t xml:space="preserve"> É certo que aquelas visitações </w:t>
      </w:r>
      <w:r w:rsidR="00334E67">
        <w:rPr>
          <w:rFonts w:ascii="Times New Roman" w:hAnsi="Times New Roman"/>
          <w:bCs/>
          <w:sz w:val="24"/>
          <w:szCs w:val="24"/>
        </w:rPr>
        <w:t>tinham por objectivo</w:t>
      </w:r>
      <w:r w:rsidR="00DE46E5">
        <w:rPr>
          <w:rFonts w:ascii="Times New Roman" w:hAnsi="Times New Roman"/>
          <w:bCs/>
          <w:sz w:val="24"/>
          <w:szCs w:val="24"/>
        </w:rPr>
        <w:t xml:space="preserve"> a fiscalização</w:t>
      </w:r>
      <w:r w:rsidR="000414E7">
        <w:rPr>
          <w:rFonts w:ascii="Times New Roman" w:hAnsi="Times New Roman"/>
          <w:bCs/>
          <w:sz w:val="24"/>
          <w:szCs w:val="24"/>
        </w:rPr>
        <w:t xml:space="preserve"> e a avaliação</w:t>
      </w:r>
      <w:r w:rsidR="00334E67">
        <w:rPr>
          <w:rFonts w:ascii="Times New Roman" w:hAnsi="Times New Roman"/>
          <w:bCs/>
          <w:sz w:val="24"/>
          <w:szCs w:val="24"/>
        </w:rPr>
        <w:t xml:space="preserve">, </w:t>
      </w:r>
      <w:r w:rsidR="00633EB1">
        <w:rPr>
          <w:rFonts w:ascii="Times New Roman" w:hAnsi="Times New Roman"/>
          <w:bCs/>
          <w:sz w:val="24"/>
          <w:szCs w:val="24"/>
        </w:rPr>
        <w:t>dos</w:t>
      </w:r>
      <w:r w:rsidR="00334E67">
        <w:rPr>
          <w:rFonts w:ascii="Times New Roman" w:hAnsi="Times New Roman"/>
          <w:bCs/>
          <w:sz w:val="24"/>
          <w:szCs w:val="24"/>
        </w:rPr>
        <w:t xml:space="preserve"> bens que detinham</w:t>
      </w:r>
      <w:r w:rsidR="000414E7">
        <w:rPr>
          <w:rFonts w:ascii="Times New Roman" w:hAnsi="Times New Roman"/>
          <w:bCs/>
          <w:sz w:val="24"/>
          <w:szCs w:val="24"/>
        </w:rPr>
        <w:t xml:space="preserve"> e</w:t>
      </w:r>
      <w:r w:rsidR="00334E67">
        <w:rPr>
          <w:rFonts w:ascii="Times New Roman" w:hAnsi="Times New Roman"/>
          <w:bCs/>
          <w:sz w:val="24"/>
          <w:szCs w:val="24"/>
        </w:rPr>
        <w:t xml:space="preserve"> </w:t>
      </w:r>
      <w:r w:rsidR="000414E7">
        <w:rPr>
          <w:rFonts w:ascii="Times New Roman" w:hAnsi="Times New Roman"/>
          <w:bCs/>
          <w:sz w:val="24"/>
          <w:szCs w:val="24"/>
        </w:rPr>
        <w:t>d</w:t>
      </w:r>
      <w:r w:rsidR="00CA3CB8">
        <w:rPr>
          <w:rFonts w:ascii="Times New Roman" w:hAnsi="Times New Roman"/>
          <w:bCs/>
          <w:sz w:val="24"/>
          <w:szCs w:val="24"/>
        </w:rPr>
        <w:t>as obras encomendadas</w:t>
      </w:r>
      <w:r w:rsidR="001C72E0">
        <w:rPr>
          <w:rFonts w:ascii="Times New Roman" w:hAnsi="Times New Roman"/>
          <w:bCs/>
          <w:sz w:val="24"/>
          <w:szCs w:val="24"/>
        </w:rPr>
        <w:t xml:space="preserve">, cujos contratos </w:t>
      </w:r>
      <w:r w:rsidR="000414E7">
        <w:rPr>
          <w:rFonts w:ascii="Times New Roman" w:hAnsi="Times New Roman"/>
          <w:bCs/>
          <w:sz w:val="24"/>
          <w:szCs w:val="24"/>
        </w:rPr>
        <w:t>estavam</w:t>
      </w:r>
      <w:r w:rsidR="001C72E0">
        <w:rPr>
          <w:rFonts w:ascii="Times New Roman" w:hAnsi="Times New Roman"/>
          <w:bCs/>
          <w:sz w:val="24"/>
          <w:szCs w:val="24"/>
        </w:rPr>
        <w:t xml:space="preserve"> registados e arquivados,</w:t>
      </w:r>
      <w:r w:rsidR="00CA3CB8">
        <w:rPr>
          <w:rFonts w:ascii="Times New Roman" w:hAnsi="Times New Roman"/>
          <w:bCs/>
          <w:sz w:val="24"/>
          <w:szCs w:val="24"/>
        </w:rPr>
        <w:t xml:space="preserve"> </w:t>
      </w:r>
      <w:r w:rsidR="000414E7">
        <w:rPr>
          <w:rFonts w:ascii="Times New Roman" w:hAnsi="Times New Roman"/>
          <w:bCs/>
          <w:sz w:val="24"/>
          <w:szCs w:val="24"/>
        </w:rPr>
        <w:t xml:space="preserve">do estado de conservação, </w:t>
      </w:r>
      <w:r w:rsidR="00CA3CB8">
        <w:rPr>
          <w:rFonts w:ascii="Times New Roman" w:hAnsi="Times New Roman"/>
          <w:bCs/>
          <w:sz w:val="24"/>
          <w:szCs w:val="24"/>
        </w:rPr>
        <w:t xml:space="preserve">se </w:t>
      </w:r>
      <w:r w:rsidR="00685906">
        <w:rPr>
          <w:rFonts w:ascii="Times New Roman" w:hAnsi="Times New Roman"/>
          <w:bCs/>
          <w:sz w:val="24"/>
          <w:szCs w:val="24"/>
        </w:rPr>
        <w:t xml:space="preserve">se </w:t>
      </w:r>
      <w:r w:rsidR="00CA3CB8">
        <w:rPr>
          <w:rFonts w:ascii="Times New Roman" w:hAnsi="Times New Roman"/>
          <w:bCs/>
          <w:sz w:val="24"/>
          <w:szCs w:val="24"/>
        </w:rPr>
        <w:t xml:space="preserve">encontravam dentro dos prazos de execução </w:t>
      </w:r>
      <w:r w:rsidR="00334E67">
        <w:rPr>
          <w:rFonts w:ascii="Times New Roman" w:hAnsi="Times New Roman"/>
          <w:bCs/>
          <w:sz w:val="24"/>
          <w:szCs w:val="24"/>
        </w:rPr>
        <w:t>e</w:t>
      </w:r>
      <w:r w:rsidR="00DE46E5">
        <w:rPr>
          <w:rFonts w:ascii="Times New Roman" w:hAnsi="Times New Roman"/>
          <w:bCs/>
          <w:sz w:val="24"/>
          <w:szCs w:val="24"/>
        </w:rPr>
        <w:t>,</w:t>
      </w:r>
      <w:r w:rsidR="00CA3CB8">
        <w:rPr>
          <w:rFonts w:ascii="Times New Roman" w:hAnsi="Times New Roman"/>
          <w:bCs/>
          <w:sz w:val="24"/>
          <w:szCs w:val="24"/>
        </w:rPr>
        <w:t xml:space="preserve"> </w:t>
      </w:r>
      <w:r w:rsidR="00DE46E5">
        <w:rPr>
          <w:rFonts w:ascii="Times New Roman" w:hAnsi="Times New Roman"/>
          <w:bCs/>
          <w:sz w:val="24"/>
          <w:szCs w:val="24"/>
        </w:rPr>
        <w:t xml:space="preserve">sobretudo, </w:t>
      </w:r>
      <w:r w:rsidR="00CA3CB8">
        <w:rPr>
          <w:rFonts w:ascii="Times New Roman" w:hAnsi="Times New Roman"/>
          <w:bCs/>
          <w:sz w:val="24"/>
          <w:szCs w:val="24"/>
        </w:rPr>
        <w:t>para verificar se satisfaziam a doutrina da Igreja no seu movimento de Contra-reforma, acautelando assim os valores e a moral que interessavam defender e difundir.</w:t>
      </w:r>
      <w:r w:rsidR="00477ECB">
        <w:rPr>
          <w:rFonts w:ascii="Times New Roman" w:hAnsi="Times New Roman"/>
          <w:bCs/>
          <w:sz w:val="24"/>
          <w:szCs w:val="24"/>
        </w:rPr>
        <w:t xml:space="preserve"> </w:t>
      </w:r>
    </w:p>
    <w:p w:rsidR="00AE457C" w:rsidRDefault="0059336A" w:rsidP="00477EC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 no século XVIII que, com D. João V </w:t>
      </w:r>
      <w:r w:rsidRPr="00033DF6">
        <w:rPr>
          <w:rFonts w:ascii="Times New Roman" w:hAnsi="Times New Roman"/>
          <w:sz w:val="24"/>
          <w:szCs w:val="24"/>
        </w:rPr>
        <w:t>(r.170</w:t>
      </w:r>
      <w:r>
        <w:rPr>
          <w:rFonts w:ascii="Times New Roman" w:hAnsi="Times New Roman"/>
          <w:sz w:val="24"/>
          <w:szCs w:val="24"/>
        </w:rPr>
        <w:t>6</w:t>
      </w:r>
      <w:r w:rsidRPr="00033DF6">
        <w:rPr>
          <w:rFonts w:ascii="Times New Roman" w:hAnsi="Times New Roman"/>
          <w:sz w:val="24"/>
          <w:szCs w:val="24"/>
        </w:rPr>
        <w:t>-1750)</w:t>
      </w:r>
      <w:r>
        <w:rPr>
          <w:rFonts w:ascii="Times New Roman" w:hAnsi="Times New Roman"/>
          <w:sz w:val="24"/>
          <w:szCs w:val="24"/>
        </w:rPr>
        <w:t>, se cria o primeiro programa patrimonial nacional,</w:t>
      </w:r>
      <w:r w:rsidR="00AE457C">
        <w:rPr>
          <w:rFonts w:ascii="Times New Roman" w:hAnsi="Times New Roman"/>
          <w:sz w:val="24"/>
          <w:szCs w:val="24"/>
        </w:rPr>
        <w:t xml:space="preserve"> com o alvará régio de 20 Agosto de 1721</w:t>
      </w:r>
      <w:r w:rsidR="00AE457C">
        <w:rPr>
          <w:rStyle w:val="FootnoteReference"/>
          <w:rFonts w:ascii="Times New Roman" w:hAnsi="Times New Roman"/>
          <w:i/>
          <w:sz w:val="24"/>
          <w:szCs w:val="24"/>
        </w:rPr>
        <w:footnoteReference w:id="3"/>
      </w:r>
      <w:r w:rsidR="00AE457C">
        <w:rPr>
          <w:rFonts w:ascii="Times New Roman" w:hAnsi="Times New Roman"/>
          <w:sz w:val="24"/>
          <w:szCs w:val="24"/>
        </w:rPr>
        <w:t xml:space="preserve">. </w:t>
      </w:r>
      <w:r w:rsidR="001C72E0">
        <w:rPr>
          <w:rFonts w:ascii="Times New Roman" w:hAnsi="Times New Roman"/>
          <w:sz w:val="24"/>
          <w:szCs w:val="24"/>
        </w:rPr>
        <w:t xml:space="preserve">Ficaram então </w:t>
      </w:r>
      <w:r w:rsidR="009B3DEF">
        <w:rPr>
          <w:rFonts w:ascii="Times New Roman" w:hAnsi="Times New Roman"/>
          <w:sz w:val="24"/>
          <w:szCs w:val="24"/>
        </w:rPr>
        <w:t xml:space="preserve">criadas as condições para que </w:t>
      </w:r>
      <w:r w:rsidR="00294700">
        <w:rPr>
          <w:rFonts w:ascii="Times New Roman" w:hAnsi="Times New Roman"/>
          <w:sz w:val="24"/>
          <w:szCs w:val="24"/>
        </w:rPr>
        <w:t>fosse</w:t>
      </w:r>
      <w:r w:rsidR="009B3DEF">
        <w:rPr>
          <w:rFonts w:ascii="Times New Roman" w:hAnsi="Times New Roman"/>
          <w:sz w:val="24"/>
          <w:szCs w:val="24"/>
        </w:rPr>
        <w:t xml:space="preserve"> </w:t>
      </w:r>
      <w:r w:rsidR="00294700">
        <w:rPr>
          <w:rFonts w:ascii="Times New Roman" w:hAnsi="Times New Roman"/>
          <w:sz w:val="24"/>
          <w:szCs w:val="24"/>
        </w:rPr>
        <w:t>executado</w:t>
      </w:r>
      <w:r w:rsidR="009B3DEF">
        <w:rPr>
          <w:rFonts w:ascii="Times New Roman" w:hAnsi="Times New Roman"/>
          <w:sz w:val="24"/>
          <w:szCs w:val="24"/>
        </w:rPr>
        <w:t xml:space="preserve"> o </w:t>
      </w:r>
      <w:r w:rsidR="00294700">
        <w:rPr>
          <w:rFonts w:ascii="Times New Roman" w:hAnsi="Times New Roman"/>
          <w:sz w:val="24"/>
          <w:szCs w:val="24"/>
        </w:rPr>
        <w:t>recenseamento</w:t>
      </w:r>
      <w:r w:rsidR="009B3DEF" w:rsidRPr="009B3D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E457C">
        <w:rPr>
          <w:rFonts w:ascii="Times New Roman" w:hAnsi="Times New Roman"/>
          <w:sz w:val="24"/>
          <w:szCs w:val="24"/>
        </w:rPr>
        <w:t>do nosso património cultural</w:t>
      </w:r>
      <w:r w:rsidR="00294700">
        <w:rPr>
          <w:rFonts w:ascii="Times New Roman" w:hAnsi="Times New Roman"/>
          <w:sz w:val="24"/>
          <w:szCs w:val="24"/>
        </w:rPr>
        <w:t xml:space="preserve">. Assim, </w:t>
      </w:r>
      <w:r w:rsidR="000414E7">
        <w:rPr>
          <w:rFonts w:ascii="Times New Roman" w:hAnsi="Times New Roman"/>
          <w:sz w:val="24"/>
          <w:szCs w:val="24"/>
        </w:rPr>
        <w:lastRenderedPageBreak/>
        <w:t xml:space="preserve">foram </w:t>
      </w:r>
      <w:r w:rsidR="00AE457C">
        <w:rPr>
          <w:rFonts w:ascii="Times New Roman" w:hAnsi="Times New Roman"/>
          <w:sz w:val="24"/>
          <w:szCs w:val="24"/>
        </w:rPr>
        <w:t xml:space="preserve">atribuídas </w:t>
      </w:r>
      <w:r w:rsidR="000414E7">
        <w:rPr>
          <w:rFonts w:ascii="Times New Roman" w:hAnsi="Times New Roman"/>
          <w:sz w:val="24"/>
          <w:szCs w:val="24"/>
        </w:rPr>
        <w:t xml:space="preserve">as competências </w:t>
      </w:r>
      <w:r w:rsidR="00FC2717">
        <w:rPr>
          <w:rFonts w:ascii="Times New Roman" w:hAnsi="Times New Roman"/>
          <w:sz w:val="24"/>
          <w:szCs w:val="24"/>
        </w:rPr>
        <w:t xml:space="preserve">necessárias para levantamento e registo </w:t>
      </w:r>
      <w:r w:rsidR="000414E7">
        <w:rPr>
          <w:rFonts w:ascii="Times New Roman" w:hAnsi="Times New Roman"/>
          <w:sz w:val="24"/>
          <w:szCs w:val="24"/>
        </w:rPr>
        <w:t>d</w:t>
      </w:r>
      <w:r w:rsidR="00FC2717">
        <w:rPr>
          <w:rFonts w:ascii="Times New Roman" w:hAnsi="Times New Roman"/>
          <w:sz w:val="24"/>
          <w:szCs w:val="24"/>
        </w:rPr>
        <w:t>o património</w:t>
      </w:r>
      <w:r w:rsidR="00685906">
        <w:rPr>
          <w:rFonts w:ascii="Times New Roman" w:hAnsi="Times New Roman"/>
          <w:sz w:val="24"/>
          <w:szCs w:val="24"/>
        </w:rPr>
        <w:t>, em particular o</w:t>
      </w:r>
      <w:r w:rsidR="00FC2717">
        <w:rPr>
          <w:rFonts w:ascii="Times New Roman" w:hAnsi="Times New Roman"/>
          <w:sz w:val="24"/>
          <w:szCs w:val="24"/>
        </w:rPr>
        <w:t xml:space="preserve"> edificado</w:t>
      </w:r>
      <w:r w:rsidR="00685906">
        <w:rPr>
          <w:rFonts w:ascii="Times New Roman" w:hAnsi="Times New Roman"/>
          <w:sz w:val="24"/>
          <w:szCs w:val="24"/>
        </w:rPr>
        <w:t>,</w:t>
      </w:r>
      <w:r w:rsidR="00FC2717">
        <w:rPr>
          <w:rFonts w:ascii="Times New Roman" w:hAnsi="Times New Roman"/>
          <w:sz w:val="24"/>
          <w:szCs w:val="24"/>
        </w:rPr>
        <w:t xml:space="preserve"> </w:t>
      </w:r>
      <w:r w:rsidR="00685906">
        <w:rPr>
          <w:rFonts w:ascii="Times New Roman" w:hAnsi="Times New Roman"/>
          <w:sz w:val="24"/>
          <w:szCs w:val="24"/>
        </w:rPr>
        <w:t>capaz de se classificar como Monumento Nacional</w:t>
      </w:r>
      <w:r w:rsidR="000414E7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="008436F9">
        <w:rPr>
          <w:rFonts w:ascii="Times New Roman" w:hAnsi="Times New Roman"/>
          <w:sz w:val="24"/>
          <w:szCs w:val="24"/>
        </w:rPr>
        <w:t>,</w:t>
      </w:r>
      <w:r w:rsidR="000414E7">
        <w:rPr>
          <w:rFonts w:ascii="Times New Roman" w:hAnsi="Times New Roman"/>
          <w:i/>
          <w:sz w:val="24"/>
          <w:szCs w:val="24"/>
        </w:rPr>
        <w:t xml:space="preserve"> </w:t>
      </w:r>
      <w:r w:rsidR="00AE457C">
        <w:rPr>
          <w:rFonts w:ascii="Times New Roman" w:hAnsi="Times New Roman"/>
          <w:sz w:val="24"/>
          <w:szCs w:val="24"/>
        </w:rPr>
        <w:t xml:space="preserve">à </w:t>
      </w:r>
      <w:r w:rsidR="00AE457C" w:rsidRPr="003754EF">
        <w:rPr>
          <w:rFonts w:ascii="Times New Roman" w:hAnsi="Times New Roman"/>
          <w:sz w:val="24"/>
          <w:szCs w:val="24"/>
        </w:rPr>
        <w:t>Acade</w:t>
      </w:r>
      <w:r w:rsidR="00AE457C">
        <w:rPr>
          <w:rFonts w:ascii="Times New Roman" w:hAnsi="Times New Roman"/>
          <w:sz w:val="24"/>
          <w:szCs w:val="24"/>
        </w:rPr>
        <w:t>mia Real Portuguesa da História</w:t>
      </w:r>
      <w:r w:rsidR="00AE457C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="00AE457C">
        <w:rPr>
          <w:rFonts w:ascii="Times New Roman" w:hAnsi="Times New Roman"/>
          <w:sz w:val="24"/>
          <w:szCs w:val="24"/>
        </w:rPr>
        <w:t>, fundada em 1720</w:t>
      </w:r>
      <w:r w:rsidR="009B3DEF">
        <w:rPr>
          <w:rFonts w:ascii="Times New Roman" w:hAnsi="Times New Roman"/>
          <w:sz w:val="24"/>
          <w:szCs w:val="24"/>
        </w:rPr>
        <w:t>,</w:t>
      </w:r>
      <w:r w:rsidR="00AE457C">
        <w:rPr>
          <w:rFonts w:ascii="Times New Roman" w:hAnsi="Times New Roman"/>
          <w:sz w:val="24"/>
          <w:szCs w:val="24"/>
        </w:rPr>
        <w:t xml:space="preserve"> onde um dos seus censores, </w:t>
      </w:r>
      <w:r w:rsidR="00AE457C" w:rsidRPr="003808FE">
        <w:rPr>
          <w:rFonts w:ascii="Times New Roman" w:hAnsi="Times New Roman"/>
          <w:sz w:val="24"/>
          <w:szCs w:val="24"/>
        </w:rPr>
        <w:t>D. Rodrigo Anes de Sá Almeida e Meneses</w:t>
      </w:r>
      <w:r w:rsidR="00AE457C">
        <w:rPr>
          <w:rFonts w:ascii="Times New Roman" w:hAnsi="Times New Roman"/>
          <w:sz w:val="24"/>
          <w:szCs w:val="24"/>
        </w:rPr>
        <w:t>, o 1º Marquês de Abrantes terá</w:t>
      </w:r>
      <w:r>
        <w:rPr>
          <w:rFonts w:ascii="Times New Roman" w:hAnsi="Times New Roman"/>
          <w:sz w:val="24"/>
          <w:szCs w:val="24"/>
        </w:rPr>
        <w:t>,</w:t>
      </w:r>
      <w:r w:rsidR="00AE457C">
        <w:rPr>
          <w:rFonts w:ascii="Times New Roman" w:hAnsi="Times New Roman"/>
          <w:sz w:val="24"/>
          <w:szCs w:val="24"/>
        </w:rPr>
        <w:t xml:space="preserve"> nas suas jornadas em 1721, pelo Alentejo efectuado o arrolamento e descrição de vários monumentos e antigas ruínas</w:t>
      </w:r>
      <w:r w:rsidR="00AE457C"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 w:rsidR="00AE457C">
        <w:rPr>
          <w:rFonts w:ascii="Times New Roman" w:hAnsi="Times New Roman"/>
          <w:sz w:val="24"/>
          <w:szCs w:val="24"/>
        </w:rPr>
        <w:t xml:space="preserve">. </w:t>
      </w:r>
    </w:p>
    <w:p w:rsidR="00AE457C" w:rsidRDefault="00FC2717" w:rsidP="00AE45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 o Terramoto de 1775 e das percas que daí </w:t>
      </w:r>
      <w:r w:rsidR="00E469B0">
        <w:rPr>
          <w:rFonts w:ascii="Times New Roman" w:hAnsi="Times New Roman"/>
          <w:sz w:val="24"/>
          <w:szCs w:val="24"/>
        </w:rPr>
        <w:t>resultaram</w:t>
      </w:r>
      <w:r>
        <w:rPr>
          <w:rFonts w:ascii="Times New Roman" w:hAnsi="Times New Roman"/>
          <w:sz w:val="24"/>
          <w:szCs w:val="24"/>
        </w:rPr>
        <w:t>, houve uma tomada de consciência, do quanto foi irremediavelmente perdido</w:t>
      </w:r>
      <w:r w:rsidR="00E4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4672B3">
        <w:rPr>
          <w:rFonts w:ascii="Times New Roman" w:hAnsi="Times New Roman"/>
          <w:sz w:val="24"/>
          <w:szCs w:val="24"/>
        </w:rPr>
        <w:t xml:space="preserve"> quanto </w:t>
      </w:r>
      <w:r w:rsidR="0002501B">
        <w:rPr>
          <w:rFonts w:ascii="Times New Roman" w:hAnsi="Times New Roman"/>
          <w:sz w:val="24"/>
          <w:szCs w:val="24"/>
        </w:rPr>
        <w:t>seria</w:t>
      </w:r>
      <w:r w:rsidR="004672B3">
        <w:rPr>
          <w:rFonts w:ascii="Times New Roman" w:hAnsi="Times New Roman"/>
          <w:sz w:val="24"/>
          <w:szCs w:val="24"/>
        </w:rPr>
        <w:t xml:space="preserve"> desconhecido</w:t>
      </w:r>
      <w:r>
        <w:rPr>
          <w:rFonts w:ascii="Times New Roman" w:hAnsi="Times New Roman"/>
          <w:sz w:val="24"/>
          <w:szCs w:val="24"/>
        </w:rPr>
        <w:t>, assim, torna</w:t>
      </w:r>
      <w:r w:rsidR="004672B3">
        <w:rPr>
          <w:rFonts w:ascii="Times New Roman" w:hAnsi="Times New Roman"/>
          <w:sz w:val="24"/>
          <w:szCs w:val="24"/>
        </w:rPr>
        <w:t>va-</w:t>
      </w:r>
      <w:r>
        <w:rPr>
          <w:rFonts w:ascii="Times New Roman" w:hAnsi="Times New Roman"/>
          <w:sz w:val="24"/>
          <w:szCs w:val="24"/>
        </w:rPr>
        <w:t>se urgente recensear o maior número possível dos artefactos ainda existentes, dada a sua perenidade.</w:t>
      </w:r>
      <w:r w:rsidR="008436F9">
        <w:rPr>
          <w:rFonts w:ascii="Times New Roman" w:hAnsi="Times New Roman"/>
          <w:sz w:val="24"/>
          <w:szCs w:val="24"/>
        </w:rPr>
        <w:t xml:space="preserve"> No entanto todos os projectos acabaram por ser adiados, dado o período conturbado em que a Europa mergulhou</w:t>
      </w:r>
      <w:r w:rsidR="0002501B">
        <w:rPr>
          <w:rFonts w:ascii="Times New Roman" w:hAnsi="Times New Roman"/>
          <w:sz w:val="24"/>
          <w:szCs w:val="24"/>
        </w:rPr>
        <w:t xml:space="preserve"> e,</w:t>
      </w:r>
      <w:r w:rsidR="008436F9">
        <w:rPr>
          <w:rFonts w:ascii="Times New Roman" w:hAnsi="Times New Roman"/>
          <w:sz w:val="24"/>
          <w:szCs w:val="24"/>
        </w:rPr>
        <w:t xml:space="preserve"> com as Invasões Peninsulares, pelas quais Portugal é invadido em 180</w:t>
      </w:r>
      <w:r w:rsidR="0027056E">
        <w:rPr>
          <w:rFonts w:ascii="Times New Roman" w:hAnsi="Times New Roman"/>
          <w:sz w:val="24"/>
          <w:szCs w:val="24"/>
        </w:rPr>
        <w:t>7</w:t>
      </w:r>
      <w:r w:rsidR="008436F9">
        <w:rPr>
          <w:rFonts w:ascii="Times New Roman" w:hAnsi="Times New Roman"/>
          <w:sz w:val="24"/>
          <w:szCs w:val="24"/>
        </w:rPr>
        <w:t xml:space="preserve"> e, com isso, ver a mudança da Corte para o Brasi</w:t>
      </w:r>
      <w:r w:rsidR="0027056E">
        <w:rPr>
          <w:rFonts w:ascii="Times New Roman" w:hAnsi="Times New Roman"/>
          <w:sz w:val="24"/>
          <w:szCs w:val="24"/>
        </w:rPr>
        <w:t>l</w:t>
      </w:r>
      <w:r w:rsidR="0002501B">
        <w:rPr>
          <w:rFonts w:ascii="Times New Roman" w:hAnsi="Times New Roman"/>
          <w:sz w:val="24"/>
          <w:szCs w:val="24"/>
        </w:rPr>
        <w:t>,</w:t>
      </w:r>
      <w:r w:rsidR="0027056E">
        <w:rPr>
          <w:rFonts w:ascii="Times New Roman" w:hAnsi="Times New Roman"/>
          <w:sz w:val="24"/>
          <w:szCs w:val="24"/>
        </w:rPr>
        <w:t xml:space="preserve"> de onde regressaria apenas em 1820 mas</w:t>
      </w:r>
      <w:r w:rsidR="005244F2">
        <w:rPr>
          <w:rFonts w:ascii="Times New Roman" w:hAnsi="Times New Roman"/>
          <w:sz w:val="24"/>
          <w:szCs w:val="24"/>
        </w:rPr>
        <w:t>,</w:t>
      </w:r>
      <w:r w:rsidR="0027056E">
        <w:rPr>
          <w:rFonts w:ascii="Times New Roman" w:hAnsi="Times New Roman"/>
          <w:sz w:val="24"/>
          <w:szCs w:val="24"/>
        </w:rPr>
        <w:t xml:space="preserve"> em vez de </w:t>
      </w:r>
      <w:r w:rsidR="005244F2">
        <w:rPr>
          <w:rFonts w:ascii="Times New Roman" w:hAnsi="Times New Roman"/>
          <w:sz w:val="24"/>
          <w:szCs w:val="24"/>
        </w:rPr>
        <w:t xml:space="preserve">se </w:t>
      </w:r>
      <w:r w:rsidR="0027056E">
        <w:rPr>
          <w:rFonts w:ascii="Times New Roman" w:hAnsi="Times New Roman"/>
          <w:sz w:val="24"/>
          <w:szCs w:val="24"/>
        </w:rPr>
        <w:t>dar lugar à paz e à reconciliação</w:t>
      </w:r>
      <w:r w:rsidR="0002501B">
        <w:rPr>
          <w:rFonts w:ascii="Times New Roman" w:hAnsi="Times New Roman"/>
          <w:sz w:val="24"/>
          <w:szCs w:val="24"/>
        </w:rPr>
        <w:t>,</w:t>
      </w:r>
      <w:r w:rsidR="0027056E">
        <w:rPr>
          <w:rFonts w:ascii="Times New Roman" w:hAnsi="Times New Roman"/>
          <w:sz w:val="24"/>
          <w:szCs w:val="24"/>
        </w:rPr>
        <w:t xml:space="preserve"> Portugal inicia um novo período de guerra, desta feita interna, a chamada Guerra Liberal (1820-1834). Logo após o fim da guerra civil, sob o Liberalismo é decretada a extinção das Ordens Religiosas e a </w:t>
      </w:r>
      <w:r w:rsidR="005244F2">
        <w:rPr>
          <w:rFonts w:ascii="Times New Roman" w:hAnsi="Times New Roman"/>
          <w:sz w:val="24"/>
          <w:szCs w:val="24"/>
        </w:rPr>
        <w:t>expropriação de todos os bens, sendo integrados na Fazenda Pública. O Estado viu-se então obrigado cadastrar todo este património.</w:t>
      </w:r>
    </w:p>
    <w:p w:rsidR="00E469B0" w:rsidRDefault="004672B3" w:rsidP="00AE45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com Alexandre Herculano em 1839 que é sugerida a alteração à Lei de 1720, tornada</w:t>
      </w:r>
      <w:r w:rsidR="00C84BFB">
        <w:rPr>
          <w:rFonts w:ascii="Times New Roman" w:hAnsi="Times New Roman"/>
          <w:sz w:val="24"/>
          <w:szCs w:val="24"/>
        </w:rPr>
        <w:t xml:space="preserve"> entretanto</w:t>
      </w:r>
      <w:r>
        <w:rPr>
          <w:rFonts w:ascii="Times New Roman" w:hAnsi="Times New Roman"/>
          <w:sz w:val="24"/>
          <w:szCs w:val="24"/>
        </w:rPr>
        <w:t xml:space="preserve"> letra morta, numa tentativa de a actualizar face à </w:t>
      </w:r>
      <w:r w:rsidR="00546923">
        <w:rPr>
          <w:rFonts w:ascii="Times New Roman" w:hAnsi="Times New Roman"/>
          <w:sz w:val="24"/>
          <w:szCs w:val="24"/>
        </w:rPr>
        <w:t xml:space="preserve">emergente </w:t>
      </w:r>
      <w:r>
        <w:rPr>
          <w:rFonts w:ascii="Times New Roman" w:hAnsi="Times New Roman"/>
          <w:sz w:val="24"/>
          <w:szCs w:val="24"/>
        </w:rPr>
        <w:t xml:space="preserve">concepção de Património, </w:t>
      </w:r>
      <w:r w:rsidR="00546923">
        <w:rPr>
          <w:rFonts w:ascii="Times New Roman" w:hAnsi="Times New Roman"/>
          <w:sz w:val="24"/>
          <w:szCs w:val="24"/>
        </w:rPr>
        <w:t>à luz das</w:t>
      </w:r>
      <w:r>
        <w:rPr>
          <w:rFonts w:ascii="Times New Roman" w:hAnsi="Times New Roman"/>
          <w:sz w:val="24"/>
          <w:szCs w:val="24"/>
        </w:rPr>
        <w:t xml:space="preserve"> novas realidades de génese humanista, iluminista e romântica. Em 1858</w:t>
      </w:r>
      <w:r w:rsidR="005469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Joaquim Possidónio Narciso da Silva obteve licença de D. Pedro V para </w:t>
      </w:r>
      <w:r w:rsidR="0054692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desenhar, medir e proceder ao cadastro dos edifícios da arquitectura portuguesa que poderiam ser classificados como Monumentos Nacionais</w:t>
      </w:r>
      <w:r w:rsidR="00546923">
        <w:rPr>
          <w:rFonts w:ascii="Times New Roman" w:hAnsi="Times New Roman"/>
          <w:sz w:val="24"/>
          <w:szCs w:val="24"/>
        </w:rPr>
        <w:t>”</w:t>
      </w:r>
      <w:r w:rsidR="00546923"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sz w:val="24"/>
          <w:szCs w:val="24"/>
        </w:rPr>
        <w:t xml:space="preserve">. Mais tarde, em 1863, </w:t>
      </w:r>
      <w:r w:rsidR="00C84BFB">
        <w:rPr>
          <w:rFonts w:ascii="Times New Roman" w:hAnsi="Times New Roman"/>
          <w:sz w:val="24"/>
          <w:szCs w:val="24"/>
        </w:rPr>
        <w:t>como</w:t>
      </w:r>
      <w:r>
        <w:rPr>
          <w:rFonts w:ascii="Times New Roman" w:hAnsi="Times New Roman"/>
          <w:sz w:val="24"/>
          <w:szCs w:val="24"/>
        </w:rPr>
        <w:t xml:space="preserve"> fundador da Associação dos Arquitectos e Arqueólogos</w:t>
      </w:r>
      <w:r w:rsidR="00546923">
        <w:rPr>
          <w:rFonts w:ascii="Times New Roman" w:hAnsi="Times New Roman"/>
          <w:sz w:val="24"/>
          <w:szCs w:val="24"/>
        </w:rPr>
        <w:t>, onde tendo recebido para sede o abandonado</w:t>
      </w:r>
      <w:r>
        <w:rPr>
          <w:rFonts w:ascii="Times New Roman" w:hAnsi="Times New Roman"/>
          <w:sz w:val="24"/>
          <w:szCs w:val="24"/>
        </w:rPr>
        <w:t xml:space="preserve"> </w:t>
      </w:r>
      <w:r w:rsidR="00546923">
        <w:rPr>
          <w:rFonts w:ascii="Times New Roman" w:hAnsi="Times New Roman"/>
          <w:sz w:val="24"/>
          <w:szCs w:val="24"/>
        </w:rPr>
        <w:t>Convento do Carmo, cri</w:t>
      </w:r>
      <w:r w:rsidR="00470292">
        <w:rPr>
          <w:rFonts w:ascii="Times New Roman" w:hAnsi="Times New Roman"/>
          <w:sz w:val="24"/>
          <w:szCs w:val="24"/>
        </w:rPr>
        <w:t>ou</w:t>
      </w:r>
      <w:r w:rsidR="00546923">
        <w:rPr>
          <w:rFonts w:ascii="Times New Roman" w:hAnsi="Times New Roman"/>
          <w:sz w:val="24"/>
          <w:szCs w:val="24"/>
        </w:rPr>
        <w:t xml:space="preserve"> ali um museu.</w:t>
      </w:r>
      <w:r>
        <w:rPr>
          <w:rFonts w:ascii="Times New Roman" w:hAnsi="Times New Roman"/>
          <w:sz w:val="24"/>
          <w:szCs w:val="24"/>
        </w:rPr>
        <w:t xml:space="preserve"> </w:t>
      </w:r>
      <w:r w:rsidR="00470292">
        <w:rPr>
          <w:rFonts w:ascii="Times New Roman" w:hAnsi="Times New Roman"/>
          <w:sz w:val="24"/>
          <w:szCs w:val="24"/>
        </w:rPr>
        <w:t>Posteriormente são criadas várias Comissões Ministeriais (1870 1875, 1880, 1882 e 1890)</w:t>
      </w:r>
      <w:r w:rsidR="00470292">
        <w:rPr>
          <w:rStyle w:val="FootnoteReference"/>
          <w:rFonts w:ascii="Times New Roman" w:hAnsi="Times New Roman"/>
          <w:sz w:val="24"/>
          <w:szCs w:val="24"/>
        </w:rPr>
        <w:footnoteReference w:id="8"/>
      </w:r>
      <w:r w:rsidR="001F160F">
        <w:rPr>
          <w:rFonts w:ascii="Times New Roman" w:hAnsi="Times New Roman"/>
          <w:sz w:val="24"/>
          <w:szCs w:val="24"/>
        </w:rPr>
        <w:t>. Tinham por</w:t>
      </w:r>
      <w:r w:rsidR="00470292">
        <w:rPr>
          <w:rFonts w:ascii="Times New Roman" w:hAnsi="Times New Roman"/>
          <w:sz w:val="24"/>
          <w:szCs w:val="24"/>
        </w:rPr>
        <w:t xml:space="preserve"> objectivo efectuar o cadastro de todo o património. Em regra nenhuma produziu resultados satisfatórios</w:t>
      </w:r>
      <w:r w:rsidR="000A5F3E">
        <w:rPr>
          <w:rFonts w:ascii="Times New Roman" w:hAnsi="Times New Roman"/>
          <w:sz w:val="24"/>
          <w:szCs w:val="24"/>
        </w:rPr>
        <w:t xml:space="preserve"> ou conclusivos</w:t>
      </w:r>
      <w:r w:rsidR="000A5F3E">
        <w:rPr>
          <w:rStyle w:val="FootnoteReference"/>
          <w:rFonts w:ascii="Times New Roman" w:hAnsi="Times New Roman"/>
          <w:sz w:val="24"/>
          <w:szCs w:val="24"/>
        </w:rPr>
        <w:footnoteReference w:id="9"/>
      </w:r>
      <w:r w:rsidR="00470292">
        <w:rPr>
          <w:rFonts w:ascii="Times New Roman" w:hAnsi="Times New Roman"/>
          <w:sz w:val="24"/>
          <w:szCs w:val="24"/>
        </w:rPr>
        <w:t>, pela falta de consensos e de critérios e</w:t>
      </w:r>
      <w:r w:rsidR="00EB4369">
        <w:rPr>
          <w:rFonts w:ascii="Times New Roman" w:hAnsi="Times New Roman"/>
          <w:sz w:val="24"/>
          <w:szCs w:val="24"/>
        </w:rPr>
        <w:t>,</w:t>
      </w:r>
      <w:r w:rsidR="00470292">
        <w:rPr>
          <w:rFonts w:ascii="Times New Roman" w:hAnsi="Times New Roman"/>
          <w:sz w:val="24"/>
          <w:szCs w:val="24"/>
        </w:rPr>
        <w:t xml:space="preserve"> foi preciso chegar a 1909 para que fossem aprovados os trabalhos do Conselho </w:t>
      </w:r>
      <w:r w:rsidR="00470292">
        <w:rPr>
          <w:rFonts w:ascii="Times New Roman" w:hAnsi="Times New Roman"/>
          <w:sz w:val="24"/>
          <w:szCs w:val="24"/>
        </w:rPr>
        <w:lastRenderedPageBreak/>
        <w:t>dos Monumentos Nacionais</w:t>
      </w:r>
      <w:r w:rsidR="001F160F">
        <w:rPr>
          <w:rFonts w:ascii="Times New Roman" w:hAnsi="Times New Roman"/>
          <w:sz w:val="24"/>
          <w:szCs w:val="24"/>
        </w:rPr>
        <w:t>,</w:t>
      </w:r>
      <w:r w:rsidR="00470292">
        <w:rPr>
          <w:rFonts w:ascii="Times New Roman" w:hAnsi="Times New Roman"/>
          <w:sz w:val="24"/>
          <w:szCs w:val="24"/>
        </w:rPr>
        <w:t xml:space="preserve"> resultando </w:t>
      </w:r>
      <w:r w:rsidR="001F160F">
        <w:rPr>
          <w:rFonts w:ascii="Times New Roman" w:hAnsi="Times New Roman"/>
          <w:sz w:val="24"/>
          <w:szCs w:val="24"/>
        </w:rPr>
        <w:t xml:space="preserve">destes </w:t>
      </w:r>
      <w:r w:rsidR="00470292">
        <w:rPr>
          <w:rFonts w:ascii="Times New Roman" w:hAnsi="Times New Roman"/>
          <w:sz w:val="24"/>
          <w:szCs w:val="24"/>
        </w:rPr>
        <w:t>a primeira lista dos monum</w:t>
      </w:r>
      <w:r w:rsidR="00EB4369">
        <w:rPr>
          <w:rFonts w:ascii="Times New Roman" w:hAnsi="Times New Roman"/>
          <w:sz w:val="24"/>
          <w:szCs w:val="24"/>
        </w:rPr>
        <w:t>entos nacionais, aprovada em Julho de 1910</w:t>
      </w:r>
      <w:r w:rsidR="00EB4369">
        <w:rPr>
          <w:rStyle w:val="FootnoteReference"/>
          <w:rFonts w:ascii="Times New Roman" w:hAnsi="Times New Roman"/>
          <w:sz w:val="24"/>
          <w:szCs w:val="24"/>
        </w:rPr>
        <w:footnoteReference w:id="10"/>
      </w:r>
      <w:r w:rsidR="00EB4369">
        <w:rPr>
          <w:rFonts w:ascii="Times New Roman" w:hAnsi="Times New Roman"/>
          <w:sz w:val="24"/>
          <w:szCs w:val="24"/>
        </w:rPr>
        <w:t>.</w:t>
      </w:r>
    </w:p>
    <w:p w:rsidR="00E469B0" w:rsidRDefault="00E210EA" w:rsidP="00AE45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Conclui-se assim que, e</w:t>
      </w:r>
      <w:r w:rsidR="000A5F3E">
        <w:rPr>
          <w:rFonts w:ascii="Times New Roman" w:hAnsi="Times New Roman"/>
          <w:sz w:val="24"/>
          <w:szCs w:val="24"/>
        </w:rPr>
        <w:t>m Portugal o processo de inventariação</w:t>
      </w:r>
      <w:r>
        <w:rPr>
          <w:rFonts w:ascii="Times New Roman" w:hAnsi="Times New Roman"/>
          <w:sz w:val="24"/>
          <w:szCs w:val="24"/>
        </w:rPr>
        <w:t xml:space="preserve"> do património</w:t>
      </w:r>
      <w:r w:rsidR="000A5F3E">
        <w:rPr>
          <w:rFonts w:ascii="Times New Roman" w:hAnsi="Times New Roman"/>
          <w:sz w:val="24"/>
          <w:szCs w:val="24"/>
        </w:rPr>
        <w:t>, para além de tardio, foi extramente moroso</w:t>
      </w:r>
      <w:r>
        <w:rPr>
          <w:rFonts w:ascii="Times New Roman" w:hAnsi="Times New Roman"/>
          <w:sz w:val="24"/>
          <w:szCs w:val="24"/>
        </w:rPr>
        <w:t>,</w:t>
      </w:r>
      <w:r w:rsidR="000A5F3E">
        <w:rPr>
          <w:rFonts w:ascii="Times New Roman" w:hAnsi="Times New Roman"/>
          <w:sz w:val="24"/>
          <w:szCs w:val="24"/>
        </w:rPr>
        <w:t xml:space="preserve"> cheio de contratempos </w:t>
      </w:r>
      <w:r>
        <w:rPr>
          <w:rFonts w:ascii="Times New Roman" w:hAnsi="Times New Roman"/>
          <w:sz w:val="24"/>
          <w:szCs w:val="24"/>
        </w:rPr>
        <w:t>e vicissitudes. Valeu o esforço e a perseverança de mentes mais esclarecidas que, nos deixam um legado extremamente rico</w:t>
      </w:r>
      <w:r w:rsidR="0002501B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>través do seu trabalho</w:t>
      </w:r>
      <w:r w:rsidR="0002501B">
        <w:rPr>
          <w:rFonts w:ascii="Times New Roman" w:hAnsi="Times New Roman"/>
          <w:sz w:val="24"/>
          <w:szCs w:val="24"/>
        </w:rPr>
        <w:t xml:space="preserve">. Assim,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chegaram até hoje vários registos do Património entretanto desaparecido, quer por força da natureza, quer por força do homem, salientando-se, assim, a importância dos inventário</w:t>
      </w:r>
      <w:r w:rsidR="006225B2">
        <w:rPr>
          <w:rFonts w:ascii="Times New Roman" w:hAnsi="Times New Roman"/>
          <w:sz w:val="24"/>
          <w:szCs w:val="24"/>
        </w:rPr>
        <w:t>s como registo de uma memória e de uma identidade.</w:t>
      </w:r>
    </w:p>
    <w:p w:rsidR="00077C8E" w:rsidRDefault="00077C8E" w:rsidP="00AE45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FEA" w:rsidRPr="00297934" w:rsidRDefault="00285FEA" w:rsidP="00477ECB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297934">
        <w:rPr>
          <w:rFonts w:ascii="Times New Roman" w:hAnsi="Times New Roman"/>
          <w:b/>
          <w:sz w:val="24"/>
          <w:szCs w:val="24"/>
        </w:rPr>
        <w:t>Bibliografia</w:t>
      </w:r>
    </w:p>
    <w:p w:rsidR="00285FEA" w:rsidRPr="00285FEA" w:rsidRDefault="00285FEA" w:rsidP="00077C8E">
      <w:pPr>
        <w:spacing w:after="0" w:line="300" w:lineRule="auto"/>
        <w:ind w:left="709" w:hanging="425"/>
        <w:rPr>
          <w:rFonts w:ascii="Times New Roman" w:hAnsi="Times New Roman"/>
          <w:sz w:val="24"/>
          <w:szCs w:val="24"/>
        </w:rPr>
      </w:pPr>
      <w:r w:rsidRPr="00285FEA">
        <w:rPr>
          <w:rFonts w:ascii="Times New Roman" w:hAnsi="Times New Roman"/>
          <w:sz w:val="24"/>
          <w:szCs w:val="24"/>
        </w:rPr>
        <w:t xml:space="preserve">ALMEIDA, Carlos Alberto </w:t>
      </w:r>
      <w:r w:rsidR="008F3388" w:rsidRPr="00285FEA">
        <w:rPr>
          <w:rFonts w:ascii="Times New Roman" w:hAnsi="Times New Roman"/>
          <w:sz w:val="24"/>
          <w:szCs w:val="24"/>
        </w:rPr>
        <w:t>Fer</w:t>
      </w:r>
      <w:r w:rsidR="008F3388">
        <w:rPr>
          <w:rFonts w:ascii="Times New Roman" w:hAnsi="Times New Roman"/>
          <w:sz w:val="24"/>
          <w:szCs w:val="24"/>
        </w:rPr>
        <w:t>r</w:t>
      </w:r>
      <w:r w:rsidR="008F3388" w:rsidRPr="00285FEA">
        <w:rPr>
          <w:rFonts w:ascii="Times New Roman" w:hAnsi="Times New Roman"/>
          <w:sz w:val="24"/>
          <w:szCs w:val="24"/>
        </w:rPr>
        <w:t>eira</w:t>
      </w:r>
      <w:r w:rsidRPr="00285F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5FEA">
        <w:rPr>
          <w:rFonts w:ascii="Times New Roman" w:hAnsi="Times New Roman"/>
          <w:sz w:val="24"/>
          <w:szCs w:val="24"/>
        </w:rPr>
        <w:t>de</w:t>
      </w:r>
      <w:proofErr w:type="gramEnd"/>
      <w:r w:rsidR="008F3388">
        <w:rPr>
          <w:rFonts w:ascii="Times New Roman" w:hAnsi="Times New Roman"/>
          <w:sz w:val="24"/>
          <w:szCs w:val="24"/>
        </w:rPr>
        <w:t xml:space="preserve">; BARROCA, </w:t>
      </w:r>
      <w:r w:rsidRPr="00285FEA">
        <w:rPr>
          <w:rFonts w:ascii="Times New Roman" w:hAnsi="Times New Roman"/>
          <w:sz w:val="24"/>
          <w:szCs w:val="24"/>
        </w:rPr>
        <w:t>Mário Jorge</w:t>
      </w:r>
      <w:r w:rsidR="008F3388">
        <w:rPr>
          <w:rFonts w:ascii="Times New Roman" w:hAnsi="Times New Roman"/>
          <w:sz w:val="24"/>
          <w:szCs w:val="24"/>
        </w:rPr>
        <w:t xml:space="preserve"> - </w:t>
      </w:r>
      <w:r w:rsidRPr="008F3388">
        <w:rPr>
          <w:rFonts w:ascii="Times New Roman" w:hAnsi="Times New Roman"/>
          <w:i/>
          <w:sz w:val="24"/>
          <w:szCs w:val="24"/>
        </w:rPr>
        <w:t xml:space="preserve">HISTÓRIA DA ARTE EM </w:t>
      </w:r>
      <w:proofErr w:type="gramStart"/>
      <w:r w:rsidRPr="008F3388">
        <w:rPr>
          <w:rFonts w:ascii="Times New Roman" w:hAnsi="Times New Roman"/>
          <w:i/>
          <w:sz w:val="24"/>
          <w:szCs w:val="24"/>
        </w:rPr>
        <w:t xml:space="preserve">PORTUGAL </w:t>
      </w:r>
      <w:proofErr w:type="gramEnd"/>
      <w:r w:rsidRPr="008F3388">
        <w:rPr>
          <w:rFonts w:ascii="Times New Roman" w:hAnsi="Times New Roman"/>
          <w:i/>
          <w:sz w:val="24"/>
          <w:szCs w:val="24"/>
        </w:rPr>
        <w:t>: O Gótico</w:t>
      </w:r>
      <w:r w:rsidRPr="00285FEA">
        <w:rPr>
          <w:rFonts w:ascii="Times New Roman" w:hAnsi="Times New Roman"/>
          <w:sz w:val="24"/>
          <w:szCs w:val="24"/>
        </w:rPr>
        <w:t>. Lisboa: Presença, 2002.</w:t>
      </w:r>
    </w:p>
    <w:p w:rsidR="00285FEA" w:rsidRPr="00285FEA" w:rsidRDefault="00285FEA" w:rsidP="00077C8E">
      <w:pPr>
        <w:spacing w:after="0" w:line="300" w:lineRule="auto"/>
        <w:ind w:left="709" w:hanging="425"/>
        <w:rPr>
          <w:rFonts w:ascii="Times New Roman" w:hAnsi="Times New Roman"/>
          <w:sz w:val="24"/>
          <w:szCs w:val="24"/>
        </w:rPr>
      </w:pPr>
      <w:r w:rsidRPr="00285FEA">
        <w:rPr>
          <w:rFonts w:ascii="Times New Roman" w:hAnsi="Times New Roman"/>
          <w:sz w:val="24"/>
          <w:szCs w:val="24"/>
        </w:rPr>
        <w:t>CUSTÓDIO, Jorge</w:t>
      </w:r>
      <w:r w:rsidR="008F3388">
        <w:rPr>
          <w:rFonts w:ascii="Times New Roman" w:hAnsi="Times New Roman"/>
          <w:sz w:val="24"/>
          <w:szCs w:val="24"/>
        </w:rPr>
        <w:t xml:space="preserve"> - </w:t>
      </w:r>
      <w:r w:rsidRPr="008F3388">
        <w:rPr>
          <w:rFonts w:ascii="Times New Roman" w:hAnsi="Times New Roman"/>
          <w:i/>
          <w:sz w:val="24"/>
          <w:szCs w:val="24"/>
        </w:rPr>
        <w:t>De Alexandre Herculano à Carta de Veneza (1837-1964)</w:t>
      </w:r>
      <w:r w:rsidRPr="00285FEA">
        <w:rPr>
          <w:rFonts w:ascii="Times New Roman" w:hAnsi="Times New Roman"/>
          <w:sz w:val="24"/>
          <w:szCs w:val="24"/>
        </w:rPr>
        <w:t>. In</w:t>
      </w:r>
      <w:r w:rsidR="008F3388">
        <w:rPr>
          <w:rFonts w:ascii="Times New Roman" w:hAnsi="Times New Roman"/>
          <w:sz w:val="24"/>
          <w:szCs w:val="24"/>
        </w:rPr>
        <w:t xml:space="preserve"> </w:t>
      </w:r>
      <w:r w:rsidR="008F3388" w:rsidRPr="00285FEA">
        <w:rPr>
          <w:rFonts w:ascii="Times New Roman" w:hAnsi="Times New Roman"/>
          <w:sz w:val="24"/>
          <w:szCs w:val="24"/>
        </w:rPr>
        <w:t xml:space="preserve">CUSTÓDIO, </w:t>
      </w:r>
      <w:r w:rsidR="008F3388">
        <w:rPr>
          <w:rFonts w:ascii="Times New Roman" w:hAnsi="Times New Roman"/>
          <w:sz w:val="24"/>
          <w:szCs w:val="24"/>
        </w:rPr>
        <w:t xml:space="preserve">Jorge; SILVA, Nuno Vassalo </w:t>
      </w:r>
      <w:proofErr w:type="gramStart"/>
      <w:r w:rsidR="008F3388">
        <w:rPr>
          <w:rFonts w:ascii="Times New Roman" w:hAnsi="Times New Roman"/>
          <w:sz w:val="24"/>
          <w:szCs w:val="24"/>
        </w:rPr>
        <w:t>e</w:t>
      </w:r>
      <w:proofErr w:type="gramEnd"/>
      <w:r w:rsidR="008F3388">
        <w:rPr>
          <w:rFonts w:ascii="Times New Roman" w:hAnsi="Times New Roman"/>
          <w:sz w:val="24"/>
          <w:szCs w:val="24"/>
        </w:rPr>
        <w:t>;</w:t>
      </w:r>
      <w:r w:rsidR="008F3388" w:rsidRPr="00285FEA">
        <w:rPr>
          <w:rFonts w:ascii="Times New Roman" w:hAnsi="Times New Roman"/>
          <w:sz w:val="24"/>
          <w:szCs w:val="24"/>
        </w:rPr>
        <w:t xml:space="preserve"> SOROMOENHO</w:t>
      </w:r>
      <w:r w:rsidR="008F3388">
        <w:rPr>
          <w:rFonts w:ascii="Times New Roman" w:hAnsi="Times New Roman"/>
          <w:sz w:val="24"/>
          <w:szCs w:val="24"/>
        </w:rPr>
        <w:t>, Miguel -</w:t>
      </w:r>
      <w:r w:rsidRPr="00285FEA">
        <w:rPr>
          <w:rFonts w:ascii="Times New Roman" w:hAnsi="Times New Roman"/>
          <w:sz w:val="24"/>
          <w:szCs w:val="24"/>
        </w:rPr>
        <w:t xml:space="preserve"> </w:t>
      </w:r>
      <w:r w:rsidRPr="008F3388">
        <w:rPr>
          <w:rFonts w:ascii="Times New Roman" w:hAnsi="Times New Roman"/>
          <w:i/>
          <w:sz w:val="24"/>
          <w:szCs w:val="24"/>
        </w:rPr>
        <w:t>Dar Futuro ao Passado</w:t>
      </w:r>
      <w:r w:rsidR="008F3388">
        <w:rPr>
          <w:rFonts w:ascii="Times New Roman" w:hAnsi="Times New Roman"/>
          <w:sz w:val="24"/>
          <w:szCs w:val="24"/>
        </w:rPr>
        <w:t xml:space="preserve">. Lisboa: SEC / IPPAR, 1993, </w:t>
      </w:r>
      <w:r w:rsidR="008F3388" w:rsidRPr="00285FEA">
        <w:rPr>
          <w:rFonts w:ascii="Times New Roman" w:hAnsi="Times New Roman"/>
          <w:sz w:val="24"/>
          <w:szCs w:val="24"/>
        </w:rPr>
        <w:t>p. 54-67</w:t>
      </w:r>
    </w:p>
    <w:p w:rsidR="00285FEA" w:rsidRPr="00285FEA" w:rsidRDefault="00285FEA" w:rsidP="00077C8E">
      <w:pPr>
        <w:spacing w:after="0" w:line="300" w:lineRule="auto"/>
        <w:ind w:left="709" w:hanging="425"/>
        <w:rPr>
          <w:rFonts w:ascii="Times New Roman" w:hAnsi="Times New Roman"/>
          <w:sz w:val="24"/>
          <w:szCs w:val="24"/>
        </w:rPr>
      </w:pPr>
      <w:r w:rsidRPr="00285FEA">
        <w:rPr>
          <w:rFonts w:ascii="Times New Roman" w:hAnsi="Times New Roman"/>
          <w:sz w:val="24"/>
          <w:szCs w:val="24"/>
        </w:rPr>
        <w:t>MIRANDA, Maria Adelaide</w:t>
      </w:r>
      <w:r w:rsidR="008F3388">
        <w:rPr>
          <w:rFonts w:ascii="Times New Roman" w:hAnsi="Times New Roman"/>
          <w:sz w:val="24"/>
          <w:szCs w:val="24"/>
        </w:rPr>
        <w:t>; SILVA,</w:t>
      </w:r>
      <w:r w:rsidRPr="00285FEA">
        <w:rPr>
          <w:rFonts w:ascii="Times New Roman" w:hAnsi="Times New Roman"/>
          <w:sz w:val="24"/>
          <w:szCs w:val="24"/>
        </w:rPr>
        <w:t xml:space="preserve"> José Custódio Vieira da</w:t>
      </w:r>
      <w:r w:rsidR="008F3388">
        <w:rPr>
          <w:rFonts w:ascii="Times New Roman" w:hAnsi="Times New Roman"/>
          <w:sz w:val="24"/>
          <w:szCs w:val="24"/>
        </w:rPr>
        <w:t xml:space="preserve"> - </w:t>
      </w:r>
      <w:r w:rsidRPr="008F3388">
        <w:rPr>
          <w:rFonts w:ascii="Times New Roman" w:hAnsi="Times New Roman"/>
          <w:i/>
          <w:sz w:val="24"/>
          <w:szCs w:val="24"/>
        </w:rPr>
        <w:t xml:space="preserve">História da Arte </w:t>
      </w:r>
      <w:proofErr w:type="gramStart"/>
      <w:r w:rsidRPr="008F3388">
        <w:rPr>
          <w:rFonts w:ascii="Times New Roman" w:hAnsi="Times New Roman"/>
          <w:i/>
          <w:sz w:val="24"/>
          <w:szCs w:val="24"/>
        </w:rPr>
        <w:t xml:space="preserve">Portuguesa </w:t>
      </w:r>
      <w:proofErr w:type="gramEnd"/>
      <w:r w:rsidRPr="008F3388">
        <w:rPr>
          <w:rFonts w:ascii="Times New Roman" w:hAnsi="Times New Roman"/>
          <w:i/>
          <w:sz w:val="24"/>
          <w:szCs w:val="24"/>
        </w:rPr>
        <w:t>: época medieval</w:t>
      </w:r>
      <w:r w:rsidRPr="00285FEA">
        <w:rPr>
          <w:rFonts w:ascii="Times New Roman" w:hAnsi="Times New Roman"/>
          <w:sz w:val="24"/>
          <w:szCs w:val="24"/>
        </w:rPr>
        <w:t>. Lisboa: Universidade Aberta, 1995.</w:t>
      </w:r>
    </w:p>
    <w:p w:rsidR="00285FEA" w:rsidRDefault="00285FEA" w:rsidP="00077C8E">
      <w:pPr>
        <w:spacing w:after="0" w:line="300" w:lineRule="auto"/>
        <w:ind w:left="709" w:hanging="425"/>
        <w:rPr>
          <w:rFonts w:ascii="Times New Roman" w:hAnsi="Times New Roman"/>
          <w:sz w:val="24"/>
          <w:szCs w:val="24"/>
        </w:rPr>
      </w:pPr>
      <w:r w:rsidRPr="00285FEA">
        <w:rPr>
          <w:rFonts w:ascii="Times New Roman" w:hAnsi="Times New Roman"/>
          <w:sz w:val="24"/>
          <w:szCs w:val="24"/>
        </w:rPr>
        <w:t>SOROMENHO, Miguel</w:t>
      </w:r>
      <w:r w:rsidR="008F3388">
        <w:rPr>
          <w:rFonts w:ascii="Times New Roman" w:hAnsi="Times New Roman"/>
          <w:sz w:val="24"/>
          <w:szCs w:val="24"/>
        </w:rPr>
        <w:t>;</w:t>
      </w:r>
      <w:r w:rsidRPr="00285FEA">
        <w:rPr>
          <w:rFonts w:ascii="Times New Roman" w:hAnsi="Times New Roman"/>
          <w:sz w:val="24"/>
          <w:szCs w:val="24"/>
        </w:rPr>
        <w:t xml:space="preserve"> </w:t>
      </w:r>
      <w:r w:rsidR="008F3388">
        <w:rPr>
          <w:rFonts w:ascii="Times New Roman" w:hAnsi="Times New Roman"/>
          <w:sz w:val="24"/>
          <w:szCs w:val="24"/>
        </w:rPr>
        <w:t xml:space="preserve">SILVA, </w:t>
      </w:r>
      <w:r w:rsidRPr="00285FEA">
        <w:rPr>
          <w:rFonts w:ascii="Times New Roman" w:hAnsi="Times New Roman"/>
          <w:sz w:val="24"/>
          <w:szCs w:val="24"/>
        </w:rPr>
        <w:t xml:space="preserve">Nuno Vassalo. </w:t>
      </w:r>
      <w:r w:rsidRPr="008F3388">
        <w:rPr>
          <w:rFonts w:ascii="Times New Roman" w:hAnsi="Times New Roman"/>
          <w:i/>
          <w:sz w:val="24"/>
          <w:szCs w:val="24"/>
        </w:rPr>
        <w:t>Da Idade Média ao Século XVIII</w:t>
      </w:r>
      <w:r w:rsidRPr="00285FEA">
        <w:rPr>
          <w:rFonts w:ascii="Times New Roman" w:hAnsi="Times New Roman"/>
          <w:sz w:val="24"/>
          <w:szCs w:val="24"/>
        </w:rPr>
        <w:t xml:space="preserve">. In </w:t>
      </w:r>
      <w:r w:rsidR="008F3388" w:rsidRPr="00285FEA">
        <w:rPr>
          <w:rFonts w:ascii="Times New Roman" w:hAnsi="Times New Roman"/>
          <w:sz w:val="24"/>
          <w:szCs w:val="24"/>
        </w:rPr>
        <w:t xml:space="preserve">CUSTÓDIO, </w:t>
      </w:r>
      <w:r w:rsidR="008F3388">
        <w:rPr>
          <w:rFonts w:ascii="Times New Roman" w:hAnsi="Times New Roman"/>
          <w:sz w:val="24"/>
          <w:szCs w:val="24"/>
        </w:rPr>
        <w:t xml:space="preserve">Jorge; SILVA, Nuno Vassalo </w:t>
      </w:r>
      <w:proofErr w:type="gramStart"/>
      <w:r w:rsidR="008F3388">
        <w:rPr>
          <w:rFonts w:ascii="Times New Roman" w:hAnsi="Times New Roman"/>
          <w:sz w:val="24"/>
          <w:szCs w:val="24"/>
        </w:rPr>
        <w:t>e</w:t>
      </w:r>
      <w:proofErr w:type="gramEnd"/>
      <w:r w:rsidR="008F3388">
        <w:rPr>
          <w:rFonts w:ascii="Times New Roman" w:hAnsi="Times New Roman"/>
          <w:sz w:val="24"/>
          <w:szCs w:val="24"/>
        </w:rPr>
        <w:t>;</w:t>
      </w:r>
      <w:r w:rsidR="008F3388" w:rsidRPr="00285FEA">
        <w:rPr>
          <w:rFonts w:ascii="Times New Roman" w:hAnsi="Times New Roman"/>
          <w:sz w:val="24"/>
          <w:szCs w:val="24"/>
        </w:rPr>
        <w:t xml:space="preserve"> SOROMOENHO</w:t>
      </w:r>
      <w:r w:rsidR="008F3388">
        <w:rPr>
          <w:rFonts w:ascii="Times New Roman" w:hAnsi="Times New Roman"/>
          <w:sz w:val="24"/>
          <w:szCs w:val="24"/>
        </w:rPr>
        <w:t>, Miguel</w:t>
      </w:r>
      <w:r w:rsidR="008F3388" w:rsidRPr="00285FEA">
        <w:rPr>
          <w:rFonts w:ascii="Times New Roman" w:hAnsi="Times New Roman"/>
          <w:sz w:val="24"/>
          <w:szCs w:val="24"/>
        </w:rPr>
        <w:t xml:space="preserve"> </w:t>
      </w:r>
      <w:r w:rsidR="008F3388">
        <w:rPr>
          <w:rFonts w:ascii="Times New Roman" w:hAnsi="Times New Roman"/>
          <w:sz w:val="24"/>
          <w:szCs w:val="24"/>
        </w:rPr>
        <w:t xml:space="preserve">- </w:t>
      </w:r>
      <w:r w:rsidRPr="008F3388">
        <w:rPr>
          <w:rFonts w:ascii="Times New Roman" w:hAnsi="Times New Roman"/>
          <w:i/>
          <w:sz w:val="24"/>
          <w:szCs w:val="24"/>
        </w:rPr>
        <w:t>Dar Futuro ao Passado</w:t>
      </w:r>
      <w:r w:rsidR="008F3388">
        <w:rPr>
          <w:rFonts w:ascii="Times New Roman" w:hAnsi="Times New Roman"/>
          <w:sz w:val="24"/>
          <w:szCs w:val="24"/>
        </w:rPr>
        <w:t xml:space="preserve">. Lisboa: SEC / IPPAR, 1993, </w:t>
      </w:r>
      <w:r w:rsidR="008F3388" w:rsidRPr="00285FEA">
        <w:rPr>
          <w:rFonts w:ascii="Times New Roman" w:hAnsi="Times New Roman"/>
          <w:sz w:val="24"/>
          <w:szCs w:val="24"/>
        </w:rPr>
        <w:t>p. 22-33</w:t>
      </w:r>
    </w:p>
    <w:p w:rsidR="00285FEA" w:rsidRPr="008F3388" w:rsidRDefault="00285FEA" w:rsidP="00477ECB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8F3388">
        <w:rPr>
          <w:rFonts w:ascii="Times New Roman" w:hAnsi="Times New Roman"/>
          <w:b/>
          <w:sz w:val="24"/>
          <w:szCs w:val="24"/>
        </w:rPr>
        <w:t>Webgrafia</w:t>
      </w:r>
    </w:p>
    <w:p w:rsidR="0002501B" w:rsidRDefault="0002501B" w:rsidP="00077C8E">
      <w:pPr>
        <w:spacing w:after="0" w:line="30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noProof/>
        </w:rPr>
        <w:t>Academia Portuguesa de História [Em linha]. Disponível em  http://academiaportuguesadahistoria.gov.pt/ (acedido em 2012-05-13)</w:t>
      </w:r>
    </w:p>
    <w:p w:rsidR="00285FEA" w:rsidRPr="00285FEA" w:rsidRDefault="00285FEA" w:rsidP="00077C8E">
      <w:pPr>
        <w:spacing w:after="0" w:line="300" w:lineRule="auto"/>
        <w:ind w:left="709" w:hanging="425"/>
        <w:rPr>
          <w:rFonts w:ascii="Times New Roman" w:hAnsi="Times New Roman"/>
          <w:sz w:val="24"/>
          <w:szCs w:val="24"/>
        </w:rPr>
      </w:pPr>
      <w:r w:rsidRPr="00285FEA">
        <w:rPr>
          <w:rFonts w:ascii="Times New Roman" w:hAnsi="Times New Roman"/>
          <w:sz w:val="24"/>
          <w:szCs w:val="24"/>
        </w:rPr>
        <w:t>ANTT</w:t>
      </w:r>
      <w:r w:rsidR="005716F5">
        <w:rPr>
          <w:rFonts w:ascii="Times New Roman" w:hAnsi="Times New Roman"/>
          <w:sz w:val="24"/>
          <w:szCs w:val="24"/>
        </w:rPr>
        <w:t xml:space="preserve"> -</w:t>
      </w:r>
      <w:r w:rsidRPr="00285FEA">
        <w:rPr>
          <w:rFonts w:ascii="Times New Roman" w:hAnsi="Times New Roman"/>
          <w:sz w:val="24"/>
          <w:szCs w:val="24"/>
        </w:rPr>
        <w:t xml:space="preserve"> </w:t>
      </w:r>
      <w:r w:rsidRPr="005716F5">
        <w:rPr>
          <w:rFonts w:ascii="Times New Roman" w:hAnsi="Times New Roman"/>
          <w:i/>
          <w:sz w:val="24"/>
          <w:szCs w:val="24"/>
        </w:rPr>
        <w:t>Lei pela qual D. João V proibia a destruição de edifícios, que mostrassem ser antigos, de estátuas ou de medalhas</w:t>
      </w:r>
      <w:r w:rsidR="005716F5">
        <w:rPr>
          <w:rFonts w:ascii="Times New Roman" w:hAnsi="Times New Roman"/>
          <w:sz w:val="24"/>
          <w:szCs w:val="24"/>
        </w:rPr>
        <w:t xml:space="preserve"> [Em linha]</w:t>
      </w:r>
      <w:r w:rsidRPr="00285FEA">
        <w:rPr>
          <w:rFonts w:ascii="Times New Roman" w:hAnsi="Times New Roman"/>
          <w:sz w:val="24"/>
          <w:szCs w:val="24"/>
        </w:rPr>
        <w:t xml:space="preserve">. Arquivo Nacional da Torre do Tombo. </w:t>
      </w:r>
      <w:r w:rsidR="00DB6601">
        <w:rPr>
          <w:rFonts w:ascii="Times New Roman" w:hAnsi="Times New Roman"/>
          <w:sz w:val="24"/>
          <w:szCs w:val="24"/>
        </w:rPr>
        <w:t xml:space="preserve">[Consult. 13-05-2012]. Disponível em </w:t>
      </w:r>
      <w:r w:rsidRPr="00285FEA">
        <w:rPr>
          <w:rFonts w:ascii="Times New Roman" w:hAnsi="Times New Roman"/>
          <w:sz w:val="24"/>
          <w:szCs w:val="24"/>
        </w:rPr>
        <w:t>http://digitarq.dgarq.gov.pt/viewer?id=4628676 (acedido em 2012-04-02).</w:t>
      </w:r>
    </w:p>
    <w:p w:rsidR="008F3388" w:rsidRPr="00285FEA" w:rsidRDefault="008F3388" w:rsidP="00077C8E">
      <w:pPr>
        <w:spacing w:after="0" w:line="300" w:lineRule="auto"/>
        <w:ind w:left="709" w:hanging="425"/>
        <w:rPr>
          <w:rFonts w:ascii="Times New Roman" w:hAnsi="Times New Roman"/>
          <w:sz w:val="24"/>
          <w:szCs w:val="24"/>
        </w:rPr>
      </w:pPr>
      <w:r w:rsidRPr="00285FEA">
        <w:rPr>
          <w:rFonts w:ascii="Times New Roman" w:hAnsi="Times New Roman"/>
          <w:sz w:val="24"/>
          <w:szCs w:val="24"/>
        </w:rPr>
        <w:t>ORTIGÂO, Ramalho</w:t>
      </w:r>
      <w:r w:rsidR="00A058AA">
        <w:rPr>
          <w:rFonts w:ascii="Times New Roman" w:hAnsi="Times New Roman"/>
          <w:sz w:val="24"/>
          <w:szCs w:val="24"/>
        </w:rPr>
        <w:t xml:space="preserve"> - </w:t>
      </w:r>
      <w:r w:rsidRPr="00A058AA">
        <w:rPr>
          <w:rFonts w:ascii="Times New Roman" w:hAnsi="Times New Roman"/>
          <w:i/>
          <w:sz w:val="24"/>
          <w:szCs w:val="24"/>
        </w:rPr>
        <w:t>O Culto da Arte em Portugal</w:t>
      </w:r>
      <w:r w:rsidR="00477ECB">
        <w:rPr>
          <w:rFonts w:ascii="Times New Roman" w:hAnsi="Times New Roman"/>
          <w:sz w:val="24"/>
          <w:szCs w:val="24"/>
        </w:rPr>
        <w:t xml:space="preserve"> [Em linha]</w:t>
      </w:r>
      <w:r w:rsidRPr="00285FEA">
        <w:rPr>
          <w:rFonts w:ascii="Times New Roman" w:hAnsi="Times New Roman"/>
          <w:sz w:val="24"/>
          <w:szCs w:val="24"/>
        </w:rPr>
        <w:t xml:space="preserve"> Biblioteca Nacional Digital. 1896. </w:t>
      </w:r>
      <w:r w:rsidR="00A058AA">
        <w:rPr>
          <w:rFonts w:ascii="Times New Roman" w:hAnsi="Times New Roman"/>
          <w:sz w:val="24"/>
          <w:szCs w:val="24"/>
        </w:rPr>
        <w:t xml:space="preserve">[Consult. 13-05-2012]. Disponível em </w:t>
      </w:r>
      <w:r w:rsidRPr="00285FEA">
        <w:rPr>
          <w:rFonts w:ascii="Times New Roman" w:hAnsi="Times New Roman"/>
          <w:sz w:val="24"/>
          <w:szCs w:val="24"/>
        </w:rPr>
        <w:t>http://purl.pt/207 (acedido em 2012-05-13).</w:t>
      </w:r>
    </w:p>
    <w:p w:rsidR="00285FEA" w:rsidRDefault="008F3388" w:rsidP="00077C8E">
      <w:pPr>
        <w:spacing w:after="0" w:line="300" w:lineRule="auto"/>
        <w:ind w:left="709" w:hanging="425"/>
        <w:rPr>
          <w:rFonts w:ascii="Times New Roman" w:hAnsi="Times New Roman"/>
          <w:sz w:val="24"/>
          <w:szCs w:val="24"/>
        </w:rPr>
      </w:pPr>
      <w:r w:rsidRPr="00285FEA">
        <w:rPr>
          <w:rFonts w:ascii="Times New Roman" w:hAnsi="Times New Roman"/>
          <w:sz w:val="24"/>
          <w:szCs w:val="24"/>
        </w:rPr>
        <w:t>RAMOS, Paulo Oliveira</w:t>
      </w:r>
      <w:r w:rsidR="00A058AA">
        <w:rPr>
          <w:rFonts w:ascii="Times New Roman" w:hAnsi="Times New Roman"/>
          <w:sz w:val="24"/>
          <w:szCs w:val="24"/>
        </w:rPr>
        <w:t xml:space="preserve"> - </w:t>
      </w:r>
      <w:r w:rsidRPr="00A058AA">
        <w:rPr>
          <w:rFonts w:ascii="Times New Roman" w:hAnsi="Times New Roman"/>
          <w:i/>
          <w:sz w:val="24"/>
          <w:szCs w:val="24"/>
        </w:rPr>
        <w:t>O Alvará Régio de 20 de Agosto de 1721 e D. Rodrigo Anes de Sá Almeida e Meneses, o 1.º Marquês de Abrantes</w:t>
      </w:r>
      <w:r w:rsidR="00477ECB">
        <w:rPr>
          <w:rFonts w:ascii="Times New Roman" w:hAnsi="Times New Roman"/>
          <w:sz w:val="24"/>
          <w:szCs w:val="24"/>
        </w:rPr>
        <w:t xml:space="preserve"> [Em linha].</w:t>
      </w:r>
      <w:r w:rsidRPr="00285FEA">
        <w:rPr>
          <w:rFonts w:ascii="Times New Roman" w:hAnsi="Times New Roman"/>
          <w:sz w:val="24"/>
          <w:szCs w:val="24"/>
        </w:rPr>
        <w:t xml:space="preserve"> Academia.edu. </w:t>
      </w:r>
      <w:r w:rsidR="00A058AA">
        <w:rPr>
          <w:rFonts w:ascii="Times New Roman" w:hAnsi="Times New Roman"/>
          <w:sz w:val="24"/>
          <w:szCs w:val="24"/>
        </w:rPr>
        <w:t xml:space="preserve">[Consult. 13-05-2012]. Disponível em </w:t>
      </w:r>
      <w:r w:rsidRPr="00285FEA">
        <w:rPr>
          <w:rFonts w:ascii="Times New Roman" w:hAnsi="Times New Roman"/>
          <w:sz w:val="24"/>
          <w:szCs w:val="24"/>
        </w:rPr>
        <w:t>http://uab-pt.academia.edu/PauloOliveiraRamos/Papers/893476/O_Alvara_Regio_de_20_de_Agosto_de_1721_e_D._Rodrigo_Anes_de_Sa_Almeida_e_Meneses_o_1_marques_de_Abrantes._Uma_leitura (acedido em 2012-04-02).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1245"/>
        <w:gridCol w:w="463"/>
        <w:gridCol w:w="1257"/>
        <w:gridCol w:w="4839"/>
      </w:tblGrid>
      <w:tr w:rsidR="00563A63" w:rsidRPr="00563A63" w:rsidTr="00563A63">
        <w:tc>
          <w:tcPr>
            <w:tcW w:w="0" w:type="auto"/>
            <w:vAlign w:val="center"/>
            <w:hideMark/>
          </w:tcPr>
          <w:p w:rsidR="00563A63" w:rsidRPr="00563A63" w:rsidRDefault="00563A63" w:rsidP="00563A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563A6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Item Notas</w:t>
            </w:r>
          </w:p>
        </w:tc>
        <w:tc>
          <w:tcPr>
            <w:tcW w:w="0" w:type="auto"/>
            <w:vAlign w:val="center"/>
            <w:hideMark/>
          </w:tcPr>
          <w:p w:rsidR="00563A63" w:rsidRPr="00563A63" w:rsidRDefault="00563A63" w:rsidP="00563A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563A6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PT"/>
              </w:rPr>
              <w:t>Área</w:t>
            </w:r>
          </w:p>
        </w:tc>
        <w:tc>
          <w:tcPr>
            <w:tcW w:w="0" w:type="auto"/>
            <w:vAlign w:val="center"/>
            <w:hideMark/>
          </w:tcPr>
          <w:p w:rsidR="00563A63" w:rsidRPr="00563A63" w:rsidRDefault="00563A63" w:rsidP="00563A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563A6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PT"/>
              </w:rPr>
              <w:t>Nota</w:t>
            </w:r>
          </w:p>
        </w:tc>
        <w:tc>
          <w:tcPr>
            <w:tcW w:w="0" w:type="auto"/>
            <w:vAlign w:val="center"/>
            <w:hideMark/>
          </w:tcPr>
          <w:p w:rsidR="00563A63" w:rsidRPr="00563A63" w:rsidRDefault="00563A63" w:rsidP="00563A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563A6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PT"/>
              </w:rPr>
              <w:t>Percentagem</w:t>
            </w:r>
          </w:p>
        </w:tc>
        <w:tc>
          <w:tcPr>
            <w:tcW w:w="0" w:type="auto"/>
            <w:vAlign w:val="center"/>
            <w:hideMark/>
          </w:tcPr>
          <w:p w:rsidR="00563A63" w:rsidRPr="00563A63" w:rsidRDefault="00563A63" w:rsidP="00563A6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gramStart"/>
            <w:r w:rsidRPr="00563A6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pt-PT"/>
              </w:rPr>
              <w:t>A suas opiniões</w:t>
            </w:r>
            <w:proofErr w:type="gramEnd"/>
          </w:p>
        </w:tc>
      </w:tr>
      <w:tr w:rsidR="00563A63" w:rsidRPr="00563A63" w:rsidTr="00563A63"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hyperlink r:id="rId8" w:history="1">
              <w:r>
                <w:rPr>
                  <w:rFonts w:ascii="Trebuchet MS" w:eastAsia="Times New Roman" w:hAnsi="Trebuchet MS" w:cs="Arial"/>
                  <w:noProof/>
                  <w:color w:val="0C2D51"/>
                  <w:sz w:val="20"/>
                  <w:szCs w:val="20"/>
                  <w:lang w:eastAsia="pt-PT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7" name="Picture 1" descr="Trabalho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Trabalho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63A63">
                <w:rPr>
                  <w:rFonts w:ascii="Trebuchet MS" w:eastAsia="Times New Roman" w:hAnsi="Trebuchet MS" w:cs="Arial"/>
                  <w:color w:val="0C2D51"/>
                  <w:sz w:val="20"/>
                  <w:szCs w:val="20"/>
                  <w:lang w:eastAsia="pt-PT"/>
                </w:rPr>
                <w:t>E-fólio A</w:t>
              </w:r>
            </w:hyperlink>
          </w:p>
        </w:tc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 xml:space="preserve">Avaliação </w:t>
            </w:r>
            <w:proofErr w:type="spellStart"/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>electrónica</w:t>
            </w:r>
            <w:proofErr w:type="spellEnd"/>
          </w:p>
        </w:tc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>3,50</w:t>
            </w:r>
          </w:p>
        </w:tc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>87,50 %</w:t>
            </w:r>
          </w:p>
        </w:tc>
        <w:tc>
          <w:tcPr>
            <w:tcW w:w="0" w:type="auto"/>
            <w:hideMark/>
          </w:tcPr>
          <w:p w:rsidR="00563A63" w:rsidRPr="00563A63" w:rsidRDefault="00563A63" w:rsidP="00563A6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 xml:space="preserve">Embora em termos formais apresente uma das citações de forma </w:t>
            </w:r>
            <w:proofErr w:type="spellStart"/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>incorrecta</w:t>
            </w:r>
            <w:proofErr w:type="spellEnd"/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>, apresenta um trabalho bem estruturado, cumprindo os critérios pretendidos.</w:t>
            </w:r>
          </w:p>
        </w:tc>
      </w:tr>
      <w:tr w:rsidR="00563A63" w:rsidRPr="00563A63" w:rsidTr="00563A63"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hyperlink r:id="rId10" w:history="1">
              <w:r>
                <w:rPr>
                  <w:rFonts w:ascii="Trebuchet MS" w:eastAsia="Times New Roman" w:hAnsi="Trebuchet MS" w:cs="Arial"/>
                  <w:noProof/>
                  <w:color w:val="0C2D51"/>
                  <w:sz w:val="20"/>
                  <w:szCs w:val="20"/>
                  <w:lang w:eastAsia="pt-PT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2" name="Picture 2" descr="Trabalho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Trabalho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63A63">
                <w:rPr>
                  <w:rFonts w:ascii="Trebuchet MS" w:eastAsia="Times New Roman" w:hAnsi="Trebuchet MS" w:cs="Arial"/>
                  <w:color w:val="0C2D51"/>
                  <w:sz w:val="20"/>
                  <w:szCs w:val="20"/>
                  <w:lang w:eastAsia="pt-PT"/>
                </w:rPr>
                <w:t>E-fólio B</w:t>
              </w:r>
            </w:hyperlink>
          </w:p>
        </w:tc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 xml:space="preserve">Avaliação </w:t>
            </w:r>
            <w:proofErr w:type="spellStart"/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>electrónica</w:t>
            </w:r>
            <w:proofErr w:type="spellEnd"/>
          </w:p>
        </w:tc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>1,50</w:t>
            </w:r>
          </w:p>
        </w:tc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>37,50 %</w:t>
            </w:r>
          </w:p>
        </w:tc>
        <w:tc>
          <w:tcPr>
            <w:tcW w:w="0" w:type="auto"/>
            <w:hideMark/>
          </w:tcPr>
          <w:p w:rsidR="00563A63" w:rsidRPr="00563A63" w:rsidRDefault="00563A63" w:rsidP="00563A6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 xml:space="preserve">Perde-se no tempo e no conteúdo, quando se devia cingir aos </w:t>
            </w:r>
            <w:proofErr w:type="spellStart"/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>aspectos</w:t>
            </w:r>
            <w:proofErr w:type="spellEnd"/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 xml:space="preserve"> de inventariação ocorridos na segunda metade do século XIX, cuja resposta ficou muito aquém dos </w:t>
            </w:r>
            <w:proofErr w:type="spellStart"/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>objectivos</w:t>
            </w:r>
            <w:proofErr w:type="spellEnd"/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 xml:space="preserve"> esperados.</w:t>
            </w:r>
          </w:p>
        </w:tc>
      </w:tr>
      <w:tr w:rsidR="00563A63" w:rsidRPr="00563A63" w:rsidTr="00563A63"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Arial"/>
                <w:noProof/>
                <w:color w:val="000000"/>
                <w:sz w:val="20"/>
                <w:szCs w:val="20"/>
                <w:lang w:eastAsia="pt-PT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Picture 4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>E-fólios</w:t>
            </w:r>
          </w:p>
        </w:tc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 xml:space="preserve">Avaliação </w:t>
            </w:r>
            <w:proofErr w:type="spellStart"/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>electrónica</w:t>
            </w:r>
            <w:proofErr w:type="spellEnd"/>
          </w:p>
        </w:tc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>5,00</w:t>
            </w:r>
          </w:p>
        </w:tc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>62,50 %</w:t>
            </w:r>
          </w:p>
        </w:tc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563A63" w:rsidRPr="00563A63" w:rsidTr="00563A63"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hyperlink r:id="rId12" w:history="1">
              <w:r>
                <w:rPr>
                  <w:rFonts w:ascii="Trebuchet MS" w:eastAsia="Times New Roman" w:hAnsi="Trebuchet MS" w:cs="Arial"/>
                  <w:noProof/>
                  <w:color w:val="0C2D51"/>
                  <w:sz w:val="20"/>
                  <w:szCs w:val="20"/>
                  <w:lang w:eastAsia="pt-PT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5" name="Picture 5" descr="Trabalho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Trabalho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63A63">
                <w:rPr>
                  <w:rFonts w:ascii="Trebuchet MS" w:eastAsia="Times New Roman" w:hAnsi="Trebuchet MS" w:cs="Arial"/>
                  <w:color w:val="0C2D51"/>
                  <w:sz w:val="20"/>
                  <w:szCs w:val="20"/>
                  <w:lang w:eastAsia="pt-PT"/>
                </w:rPr>
                <w:t>P-fólio</w:t>
              </w:r>
            </w:hyperlink>
          </w:p>
        </w:tc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>Avaliação Contínua</w:t>
            </w:r>
          </w:p>
        </w:tc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>-</w:t>
            </w:r>
          </w:p>
        </w:tc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>-</w:t>
            </w:r>
          </w:p>
        </w:tc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563A63" w:rsidRPr="00563A63" w:rsidTr="00563A63"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Arial"/>
                <w:noProof/>
                <w:color w:val="000000"/>
                <w:sz w:val="20"/>
                <w:szCs w:val="20"/>
                <w:lang w:eastAsia="pt-PT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6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>Pontos acumulados</w:t>
            </w:r>
          </w:p>
        </w:tc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>Avaliação Contínua</w:t>
            </w:r>
          </w:p>
        </w:tc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>5,00</w:t>
            </w:r>
          </w:p>
        </w:tc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  <w:r w:rsidRPr="00563A63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  <w:t>25,00 %</w:t>
            </w:r>
          </w:p>
        </w:tc>
        <w:tc>
          <w:tcPr>
            <w:tcW w:w="0" w:type="auto"/>
            <w:hideMark/>
          </w:tcPr>
          <w:p w:rsidR="00563A63" w:rsidRPr="00563A63" w:rsidRDefault="00563A63" w:rsidP="00563A6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pt-PT"/>
              </w:rPr>
            </w:pPr>
          </w:p>
        </w:tc>
      </w:tr>
    </w:tbl>
    <w:p w:rsidR="00563A63" w:rsidRDefault="00563A63" w:rsidP="00077C8E">
      <w:pPr>
        <w:spacing w:after="0" w:line="300" w:lineRule="auto"/>
        <w:ind w:left="709" w:hanging="425"/>
        <w:rPr>
          <w:rFonts w:ascii="Times New Roman" w:hAnsi="Times New Roman"/>
          <w:sz w:val="24"/>
          <w:szCs w:val="24"/>
        </w:rPr>
      </w:pPr>
    </w:p>
    <w:sectPr w:rsidR="00563A63" w:rsidSect="008630B9">
      <w:footerReference w:type="defaul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14" w:rsidRDefault="00F15514" w:rsidP="0028490D">
      <w:pPr>
        <w:spacing w:after="0" w:line="240" w:lineRule="auto"/>
      </w:pPr>
      <w:r>
        <w:separator/>
      </w:r>
    </w:p>
  </w:endnote>
  <w:endnote w:type="continuationSeparator" w:id="0">
    <w:p w:rsidR="00F15514" w:rsidRDefault="00F15514" w:rsidP="0028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2824"/>
      <w:docPartObj>
        <w:docPartGallery w:val="Page Numbers (Bottom of Page)"/>
        <w:docPartUnique/>
      </w:docPartObj>
    </w:sdtPr>
    <w:sdtContent>
      <w:p w:rsidR="00563A63" w:rsidRDefault="00563A63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63A63" w:rsidRDefault="00563A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14" w:rsidRDefault="00F15514" w:rsidP="0028490D">
      <w:pPr>
        <w:spacing w:after="0" w:line="240" w:lineRule="auto"/>
      </w:pPr>
      <w:r>
        <w:separator/>
      </w:r>
    </w:p>
  </w:footnote>
  <w:footnote w:type="continuationSeparator" w:id="0">
    <w:p w:rsidR="00F15514" w:rsidRDefault="00F15514" w:rsidP="0028490D">
      <w:pPr>
        <w:spacing w:after="0" w:line="240" w:lineRule="auto"/>
      </w:pPr>
      <w:r>
        <w:continuationSeparator/>
      </w:r>
    </w:p>
  </w:footnote>
  <w:footnote w:id="1">
    <w:p w:rsidR="00FE1E8B" w:rsidRDefault="00FE1E8B" w:rsidP="00BF323E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ALMEIDA: 2002, 278</w:t>
      </w:r>
    </w:p>
  </w:footnote>
  <w:footnote w:id="2">
    <w:p w:rsidR="00FE1E8B" w:rsidRDefault="00FE1E8B" w:rsidP="00604526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 w:rsidR="009B3DEF">
        <w:t>“</w:t>
      </w:r>
      <w:proofErr w:type="gramStart"/>
      <w:r w:rsidR="00604526">
        <w:t>os</w:t>
      </w:r>
      <w:proofErr w:type="gramEnd"/>
      <w:r w:rsidR="00604526">
        <w:t xml:space="preserve"> textos das Visitações realizadas no início do século XVI mostram</w:t>
      </w:r>
      <w:r w:rsidR="009B3DEF">
        <w:t xml:space="preserve"> (…) de norte a sul do p</w:t>
      </w:r>
      <w:r w:rsidR="00604526">
        <w:t>aís</w:t>
      </w:r>
      <w:r w:rsidR="009B3DEF">
        <w:t>”</w:t>
      </w:r>
      <w:r w:rsidR="0002501B">
        <w:t xml:space="preserve">. </w:t>
      </w:r>
      <w:r w:rsidR="0002501B" w:rsidRPr="00BF323E">
        <w:t>MIRANDA: 1995, 167</w:t>
      </w:r>
    </w:p>
  </w:footnote>
  <w:footnote w:id="3">
    <w:p w:rsidR="00AE457C" w:rsidRPr="009B3DEF" w:rsidRDefault="00AE457C" w:rsidP="00AE457C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ANTT. Alvará régio de 1720</w:t>
      </w:r>
      <w:r w:rsidR="009B3DEF">
        <w:t xml:space="preserve">, </w:t>
      </w:r>
      <w:r w:rsidR="009B3DEF" w:rsidRPr="009B3DEF">
        <w:t xml:space="preserve">“o qual </w:t>
      </w:r>
      <w:r w:rsidR="009B3DEF" w:rsidRPr="009B3DEF">
        <w:rPr>
          <w:i/>
        </w:rPr>
        <w:t>proibia a destruição de edifícios, que mostrassem ser antigos, de estátuas ou de medalhas</w:t>
      </w:r>
      <w:r w:rsidR="009B3DEF" w:rsidRPr="009B3DEF">
        <w:t>”</w:t>
      </w:r>
      <w:r w:rsidR="0026399B">
        <w:t>.</w:t>
      </w:r>
    </w:p>
  </w:footnote>
  <w:footnote w:id="4">
    <w:p w:rsidR="000414E7" w:rsidRDefault="000414E7" w:rsidP="000414E7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RAMOS: 8</w:t>
      </w:r>
    </w:p>
  </w:footnote>
  <w:footnote w:id="5">
    <w:p w:rsidR="00AE457C" w:rsidRDefault="00AE457C" w:rsidP="0059336A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>Academia Portuguesa de História</w:t>
      </w:r>
      <w:r w:rsidR="0059336A">
        <w:rPr>
          <w:noProof/>
        </w:rPr>
        <w:t xml:space="preserve"> [Em linha]</w:t>
      </w:r>
      <w:r>
        <w:rPr>
          <w:noProof/>
        </w:rPr>
        <w:t xml:space="preserve">. </w:t>
      </w:r>
      <w:r w:rsidR="0059336A">
        <w:rPr>
          <w:noProof/>
        </w:rPr>
        <w:t xml:space="preserve">Disponível em </w:t>
      </w:r>
      <w:r>
        <w:rPr>
          <w:noProof/>
        </w:rPr>
        <w:t xml:space="preserve"> http://academiaportuguesadahistoria.gov.pt/ (acedido em 2012-0</w:t>
      </w:r>
      <w:r w:rsidR="0002501B">
        <w:rPr>
          <w:noProof/>
        </w:rPr>
        <w:t>5</w:t>
      </w:r>
      <w:r>
        <w:rPr>
          <w:noProof/>
        </w:rPr>
        <w:t>-</w:t>
      </w:r>
      <w:r w:rsidR="0002501B">
        <w:rPr>
          <w:noProof/>
        </w:rPr>
        <w:t>13</w:t>
      </w:r>
      <w:r>
        <w:rPr>
          <w:noProof/>
        </w:rPr>
        <w:t>)</w:t>
      </w:r>
    </w:p>
  </w:footnote>
  <w:footnote w:id="6">
    <w:p w:rsidR="00AE457C" w:rsidRDefault="00AE457C" w:rsidP="00E95045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RAMOS: 4-5</w:t>
      </w:r>
    </w:p>
  </w:footnote>
  <w:footnote w:id="7">
    <w:p w:rsidR="00546923" w:rsidRDefault="00546923" w:rsidP="000A5F3E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CUSTÓDIO, 47</w:t>
      </w:r>
    </w:p>
  </w:footnote>
  <w:footnote w:id="8">
    <w:p w:rsidR="00470292" w:rsidRDefault="00470292" w:rsidP="000A5F3E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Idem, </w:t>
      </w:r>
      <w:r w:rsidR="001F160F">
        <w:t>49-53</w:t>
      </w:r>
    </w:p>
  </w:footnote>
  <w:footnote w:id="9">
    <w:p w:rsidR="000A5F3E" w:rsidRDefault="000A5F3E" w:rsidP="000A5F3E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Apresentação em 1880, pela Associação dos Arquitectos e Arqueólogos, da primeira lista de Monumentos Nacionais que serviu de apoio aos trabalhos posteriormente efectuados até 1909. Idem, 53</w:t>
      </w:r>
    </w:p>
  </w:footnote>
  <w:footnote w:id="10">
    <w:p w:rsidR="00EB4369" w:rsidRDefault="00EB4369" w:rsidP="000A5F3E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Idem,</w:t>
      </w:r>
      <w:r w:rsidR="001F160F">
        <w:t xml:space="preserve"> 53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2E34"/>
    <w:rsid w:val="00002D0F"/>
    <w:rsid w:val="0002501B"/>
    <w:rsid w:val="000414E7"/>
    <w:rsid w:val="00052CAD"/>
    <w:rsid w:val="00077C8E"/>
    <w:rsid w:val="000A5F3E"/>
    <w:rsid w:val="000F19B4"/>
    <w:rsid w:val="001B73D1"/>
    <w:rsid w:val="001C72E0"/>
    <w:rsid w:val="001E3E3B"/>
    <w:rsid w:val="001F160F"/>
    <w:rsid w:val="001F1BE2"/>
    <w:rsid w:val="0023705C"/>
    <w:rsid w:val="0026399B"/>
    <w:rsid w:val="0027056E"/>
    <w:rsid w:val="0028490D"/>
    <w:rsid w:val="00285FEA"/>
    <w:rsid w:val="00294700"/>
    <w:rsid w:val="00297934"/>
    <w:rsid w:val="002D574D"/>
    <w:rsid w:val="00325135"/>
    <w:rsid w:val="00334E67"/>
    <w:rsid w:val="00341EF4"/>
    <w:rsid w:val="0035394D"/>
    <w:rsid w:val="004569F7"/>
    <w:rsid w:val="004672B3"/>
    <w:rsid w:val="00470292"/>
    <w:rsid w:val="00477ECB"/>
    <w:rsid w:val="005244F2"/>
    <w:rsid w:val="00546923"/>
    <w:rsid w:val="00563A63"/>
    <w:rsid w:val="005716F5"/>
    <w:rsid w:val="00591171"/>
    <w:rsid w:val="0059336A"/>
    <w:rsid w:val="00604526"/>
    <w:rsid w:val="006225B2"/>
    <w:rsid w:val="00633EB1"/>
    <w:rsid w:val="00685906"/>
    <w:rsid w:val="00695267"/>
    <w:rsid w:val="00763E6A"/>
    <w:rsid w:val="007A5631"/>
    <w:rsid w:val="007F75AD"/>
    <w:rsid w:val="008436F9"/>
    <w:rsid w:val="00844F7F"/>
    <w:rsid w:val="008630B9"/>
    <w:rsid w:val="008F3388"/>
    <w:rsid w:val="009B3DEF"/>
    <w:rsid w:val="00A058AA"/>
    <w:rsid w:val="00A128CB"/>
    <w:rsid w:val="00A661E5"/>
    <w:rsid w:val="00A82E34"/>
    <w:rsid w:val="00A90720"/>
    <w:rsid w:val="00AE457C"/>
    <w:rsid w:val="00B45AA1"/>
    <w:rsid w:val="00BB377E"/>
    <w:rsid w:val="00BC081B"/>
    <w:rsid w:val="00BE0E6D"/>
    <w:rsid w:val="00BF323E"/>
    <w:rsid w:val="00C2728B"/>
    <w:rsid w:val="00C7706D"/>
    <w:rsid w:val="00C84BFB"/>
    <w:rsid w:val="00CA3CB8"/>
    <w:rsid w:val="00D33838"/>
    <w:rsid w:val="00DB6601"/>
    <w:rsid w:val="00DE46E5"/>
    <w:rsid w:val="00DF36FC"/>
    <w:rsid w:val="00E210EA"/>
    <w:rsid w:val="00E41A03"/>
    <w:rsid w:val="00E469B0"/>
    <w:rsid w:val="00E63977"/>
    <w:rsid w:val="00E64FB8"/>
    <w:rsid w:val="00E95045"/>
    <w:rsid w:val="00EB4369"/>
    <w:rsid w:val="00F15514"/>
    <w:rsid w:val="00F43598"/>
    <w:rsid w:val="00F74A12"/>
    <w:rsid w:val="00FB2A2C"/>
    <w:rsid w:val="00FC2717"/>
    <w:rsid w:val="00FD627A"/>
    <w:rsid w:val="00FE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3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AD"/>
    <w:rPr>
      <w:rFonts w:ascii="Lucida Grande" w:eastAsia="Calibri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297934"/>
  </w:style>
  <w:style w:type="paragraph" w:styleId="FootnoteText">
    <w:name w:val="footnote text"/>
    <w:basedOn w:val="Normal"/>
    <w:link w:val="FootnoteTextChar"/>
    <w:uiPriority w:val="99"/>
    <w:rsid w:val="0028490D"/>
    <w:pPr>
      <w:spacing w:after="0" w:line="240" w:lineRule="auto"/>
      <w:ind w:firstLine="709"/>
    </w:pPr>
    <w:rPr>
      <w:rFonts w:ascii="Times New Roman" w:eastAsiaTheme="minorHAns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490D"/>
    <w:rPr>
      <w:rFonts w:ascii="Times New Roman" w:eastAsiaTheme="minorHAns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8490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63A63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63A63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  <w:lang w:eastAsia="pt-PT"/>
    </w:rPr>
  </w:style>
  <w:style w:type="character" w:customStyle="1" w:styleId="gradeitem">
    <w:name w:val="gradeitem"/>
    <w:basedOn w:val="DefaultParagraphFont"/>
    <w:rsid w:val="00563A63"/>
  </w:style>
  <w:style w:type="character" w:customStyle="1" w:styleId="categoryitem2">
    <w:name w:val="categoryitem2"/>
    <w:basedOn w:val="DefaultParagraphFont"/>
    <w:rsid w:val="00563A63"/>
  </w:style>
  <w:style w:type="paragraph" w:styleId="Header">
    <w:name w:val="header"/>
    <w:basedOn w:val="Normal"/>
    <w:link w:val="HeaderChar"/>
    <w:uiPriority w:val="99"/>
    <w:semiHidden/>
    <w:unhideWhenUsed/>
    <w:rsid w:val="00563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A63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3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63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3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AD"/>
    <w:rPr>
      <w:rFonts w:ascii="Lucida Grande" w:eastAsia="Calibri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297934"/>
  </w:style>
  <w:style w:type="paragraph" w:styleId="FootnoteText">
    <w:name w:val="footnote text"/>
    <w:basedOn w:val="Normal"/>
    <w:link w:val="FootnoteTextChar"/>
    <w:uiPriority w:val="99"/>
    <w:rsid w:val="0028490D"/>
    <w:pPr>
      <w:spacing w:after="0" w:line="240" w:lineRule="auto"/>
      <w:ind w:firstLine="709"/>
    </w:pPr>
    <w:rPr>
      <w:rFonts w:ascii="Times New Roman" w:eastAsiaTheme="minorHAns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490D"/>
    <w:rPr>
      <w:rFonts w:ascii="Times New Roman" w:eastAsiaTheme="minorHAns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849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assignment/grade.php?id=213524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oodle.univ-ab.pt/moodle/mod/assignment/grade.php?id=2135271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odle.univ-ab.pt/moodle/mod/assignment/grade.php?id=213525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>
  <b:Source>
    <b:Tag>ANT02</b:Tag>
    <b:SourceType>DocumentFromInternetSite</b:SourceType>
    <b:Guid>{39D0957B-F802-4FA4-B31D-EEC09AC8C255}</b:Guid>
    <b:Title>Lei pela qual D. João V proibia a destruição de edifícios, que mostrassem ser antigos, de estátuas ou de medalhas</b:Title>
    <b:Author>
      <b:Author>
        <b:Corporate>ANTT</b:Corporate>
      </b:Author>
    </b:Author>
    <b:YearAccessed>2012-04-02</b:YearAccessed>
    <b:URL>http://digitarq.dgarq.gov.pt/viewer?id=4628676</b:URL>
    <b:InternetSiteTitle>Arquivo Nacional da Torre do Tombo</b:InternetSiteTitle>
    <b:RefOrder>1</b:RefOrder>
  </b:Source>
  <b:Source>
    <b:Tag>RAM02</b:Tag>
    <b:SourceType>DocumentFromInternetSite</b:SourceType>
    <b:Guid>{061CC544-7BC1-4371-93C4-99605607C3C5}</b:Guid>
    <b:Author>
      <b:Author>
        <b:NameList>
          <b:Person>
            <b:Last>RAMOS</b:Last>
            <b:First>Paulo</b:First>
            <b:Middle>Oliveira</b:Middle>
          </b:Person>
        </b:NameList>
      </b:Author>
    </b:Author>
    <b:Title>O Alvará Régio de 20 de Agosto de 1721 e D. Rodrigo Anes de Sá Almeida e Meneses, o 1.º Marquês de Abrantes</b:Title>
    <b:YearAccessed>2012-04-02</b:YearAccessed>
    <b:URL>http://uab-pt.academia.edu/PauloOliveiraRamos/Papers/893476/O_Alvara_Regio_de_20_de_Agosto_de_1721_e_D._Rodrigo_Anes_de_Sa_Almeida_e_Meneses_o_1_marques_de_Abrantes._Uma_leitura</b:URL>
    <b:InternetSiteTitle>Academia.edu</b:InternetSiteTitle>
    <b:Comments>Necessário registo para acesso</b:Comments>
    <b:RefOrder>2</b:RefOrder>
  </b:Source>
  <b:Source>
    <b:Tag>MIR95</b:Tag>
    <b:SourceType>Book</b:SourceType>
    <b:Guid>{8CECB469-D24B-4D9F-AD2A-0E7441CC955B}</b:Guid>
    <b:Title>História da Arte Portuguesa : época medieval</b:Title>
    <b:Year>1995</b:Year>
    <b:Author>
      <b:Author>
        <b:NameList>
          <b:Person>
            <b:Last>MIRANDA</b:Last>
            <b:Middle>Adelaide</b:Middle>
            <b:First>Maria</b:First>
          </b:Person>
          <b:Person>
            <b:Last>SILVA</b:Last>
            <b:Middle>Custódio Vieira da</b:Middle>
            <b:First>José</b:First>
          </b:Person>
        </b:NameList>
      </b:Author>
    </b:Author>
    <b:City>Lisboa</b:City>
    <b:Publisher>Universidade Aberta</b:Publisher>
    <b:StandardNumber>9789726741589</b:StandardNumber>
    <b:Pages>201</b:Pages>
    <b:RefOrder>3</b:RefOrder>
  </b:Source>
  <b:Source>
    <b:Tag>ORT96</b:Tag>
    <b:SourceType>DocumentFromInternetSite</b:SourceType>
    <b:Guid>{F6A715DA-56DD-4C11-97C2-5DBB6508D7BA}</b:Guid>
    <b:Author>
      <b:Author>
        <b:NameList>
          <b:Person>
            <b:Last>ORTIGÂO</b:Last>
            <b:First>Ramalho</b:First>
          </b:Person>
        </b:NameList>
      </b:Author>
    </b:Author>
    <b:Title>O Culto da Arte em Portugal</b:Title>
    <b:Year>1896</b:Year>
    <b:City>Lisboa</b:City>
    <b:Publisher>António Maria Pereira</b:Publisher>
    <b:Pages>176</b:Pages>
    <b:YearAccessed>2012-05-13</b:YearAccessed>
    <b:URL>http://purl.pt/207</b:URL>
    <b:InternetSiteTitle>Biblioteca Nacional Digital</b:InternetSiteTitle>
    <b:RefOrder>4</b:RefOrder>
  </b:Source>
  <b:Source>
    <b:Tag>COS12</b:Tag>
    <b:SourceType>DocumentFromInternetSite</b:SourceType>
    <b:Guid>{E994B321-0739-4B97-91F4-968593B90866}</b:Guid>
    <b:Author>
      <b:Author>
        <b:NameList>
          <b:Person>
            <b:Last>COSTA</b:Last>
            <b:First>João</b:First>
            <b:Middle>Tiago dos</b:Middle>
          </b:Person>
        </b:NameList>
      </b:Author>
    </b:Author>
    <b:Title>AS "VISITAÇÕES" DAS ORDENS MILITARES (SÉCULOS XV-XVI) NA HISTORIOGRAFIA MEDIEVAL PORTUGUESA: ESTADO DA ARTE</b:Title>
    <b:InternetSiteTitle>Revista Sapiens. História, Património e Arqueologia</b:InternetSiteTitle>
    <b:YearAccessed>14-05-2012</b:YearAccessed>
    <b:URL>http://www.revistasapiens.org/Biblioteca/numero1/As_visitacoes_das_ordens_militares.pdf</b:URL>
    <b:Year>2009</b:Year>
    <b:Month>Julho</b:Month>
    <b:RefOrder>5</b:RefOrder>
  </b:Source>
  <b:Source>
    <b:Tag>SOR93</b:Tag>
    <b:SourceType>BookSection</b:SourceType>
    <b:Guid>{F06E3203-5740-451A-8891-B881334672F6}</b:Guid>
    <b:Title>Da Idade Média ao Século XVIII</b:Title>
    <b:Year>1993</b:Year>
    <b:BookTitle>Dar Futuro ao Passado</b:BookTitle>
    <b:Pages>p. 22-33</b:Pages>
    <b:City>Lisboa</b:City>
    <b:Publisher>SEC / IPPAR</b:Publisher>
    <b:Author>
      <b:Author>
        <b:NameList>
          <b:Person>
            <b:Last>SOROMENHO</b:Last>
            <b:First>Miguel</b:First>
          </b:Person>
          <b:Person>
            <b:Last>SILVA</b:Last>
            <b:Middle>Vassalo e</b:Middle>
            <b:First>Nuno</b:First>
          </b:Person>
        </b:NameList>
      </b:Author>
      <b:BookAuthor>
        <b:NameList>
          <b:Person>
            <b:Last>CUSTÓDIO</b:Last>
            <b:First>Jorge</b:First>
          </b:Person>
          <b:Person>
            <b:Last>SILVA</b:Last>
            <b:Middle>Vassalo e</b:Middle>
            <b:First>Nuno</b:First>
          </b:Person>
          <b:Person>
            <b:Last>SOROMENHO</b:Last>
            <b:First>Miguel</b:First>
          </b:Person>
        </b:NameList>
      </b:BookAuthor>
    </b:Author>
    <b:RefOrder>6</b:RefOrder>
  </b:Source>
  <b:Source>
    <b:Tag>CUS93</b:Tag>
    <b:SourceType>BookSection</b:SourceType>
    <b:Guid>{B8C323E3-8575-41B0-B4B7-323828C32E54}</b:Guid>
    <b:Title>De Alexandre Herculano à Carta de Veneza (1837-1964)</b:Title>
    <b:Year>1993</b:Year>
    <b:BookTitle>Dar Futuro ao Passado</b:BookTitle>
    <b:Pages>p. 54-67</b:Pages>
    <b:City>Lisboa</b:City>
    <b:Publisher>SEC / IPPAR</b:Publisher>
    <b:Author>
      <b:Author>
        <b:NameList>
          <b:Person>
            <b:Last>CUSTÓDIO</b:Last>
            <b:First>Jorge</b:First>
          </b:Person>
        </b:NameList>
      </b:Author>
      <b:BookAuthor>
        <b:NameList>
          <b:Person>
            <b:Last>CUSTÓDIO</b:Last>
            <b:First>Jorge</b:First>
          </b:Person>
          <b:Person>
            <b:Last>VASSALO</b:Last>
            <b:First>Nuno</b:First>
          </b:Person>
          <b:Person>
            <b:Last>SOROMOENHO</b:Last>
            <b:First>Miguel</b:First>
          </b:Person>
        </b:NameList>
      </b:BookAuthor>
    </b:Author>
    <b:RefOrder>7</b:RefOrder>
  </b:Source>
  <b:Source>
    <b:Tag>ALM02</b:Tag>
    <b:SourceType>Book</b:SourceType>
    <b:Guid>{0F5E2E4B-BF35-47F1-A240-C1EBBA081C9A}</b:Guid>
    <b:Title>HISTÓRIA DA ARTE EM PORTUGAL : O Gótico</b:Title>
    <b:Year>2002</b:Year>
    <b:City>Lisboa</b:City>
    <b:Publisher>Presença</b:Publisher>
    <b:Author>
      <b:Author>
        <b:NameList>
          <b:Person>
            <b:Last>ALMEIDA</b:Last>
            <b:First>Carlos</b:First>
            <b:Middle>Alberto Fererira de</b:Middle>
          </b:Person>
          <b:Person>
            <b:Last>BARROCA</b:Last>
            <b:First>Mário</b:First>
            <b:Middle>Jorge</b:Middle>
          </b:Person>
        </b:NameList>
      </b:Author>
    </b:Author>
    <b:StandardNumber>972-23-2841-7</b:StandardNumber>
    <b:Pages>303</b:Pages>
    <b:RefOrder>8</b:RefOrder>
  </b:Source>
</b:Sources>
</file>

<file path=customXml/itemProps1.xml><?xml version="1.0" encoding="utf-8"?>
<ds:datastoreItem xmlns:ds="http://schemas.openxmlformats.org/officeDocument/2006/customXml" ds:itemID="{5E8BEB9E-43CF-416E-AA54-6604C070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6359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ANCA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Ramos</dc:creator>
  <cp:lastModifiedBy>anca</cp:lastModifiedBy>
  <cp:revision>2</cp:revision>
  <dcterms:created xsi:type="dcterms:W3CDTF">2012-05-25T15:29:00Z</dcterms:created>
  <dcterms:modified xsi:type="dcterms:W3CDTF">2012-05-25T15:29:00Z</dcterms:modified>
</cp:coreProperties>
</file>